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200"/>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200"/>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150/2025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068/2025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90068</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068/2025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05/09/2025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FD8746F">
            <w:pPr>
              <w:jc w:val="both"/>
              <w:rPr>
                <w:rFonts w:ascii="Arial" w:hAnsi="Arial" w:cs="Arial"/>
                <w:color w:val="000000"/>
              </w:rPr>
            </w:pPr>
          </w:p>
          <w:p w14:paraId="40BE8182">
            <w:pPr>
              <w:jc w:val="both"/>
              <w:rPr>
                <w:rFonts w:hint="default" w:ascii="Arial" w:hAnsi="Arial" w:cs="Arial"/>
                <w:szCs w:val="24"/>
                <w:lang w:val="pt-BR"/>
              </w:rPr>
            </w:pPr>
            <w:r>
              <w:rPr>
                <w:rFonts w:ascii="Arial" w:hAnsi="Arial" w:cs="Arial"/>
                <w:color w:val="000000"/>
              </w:rPr>
              <w:t xml:space="preserve">Registrar preços para futura e eventual contratação de </w:t>
            </w:r>
            <w:r>
              <w:rPr>
                <w:rFonts w:hint="default" w:ascii="Arial" w:hAnsi="Arial"/>
                <w:szCs w:val="24"/>
              </w:rPr>
              <w:t xml:space="preserve">empresa especializada </w:t>
            </w:r>
            <w:r>
              <w:rPr>
                <w:rFonts w:hint="default" w:ascii="Arial" w:hAnsi="Arial"/>
                <w:szCs w:val="24"/>
                <w:lang w:val="pt-BR"/>
              </w:rPr>
              <w:t>em</w:t>
            </w:r>
            <w:r>
              <w:rPr>
                <w:rFonts w:hint="default" w:ascii="Arial" w:hAnsi="Arial"/>
                <w:szCs w:val="24"/>
              </w:rPr>
              <w:t xml:space="preserve"> </w:t>
            </w:r>
            <w:r>
              <w:rPr>
                <w:rFonts w:hint="default" w:ascii="Arial" w:hAnsi="Arial"/>
                <w:szCs w:val="24"/>
                <w:lang w:val="pt-BR"/>
              </w:rPr>
              <w:t xml:space="preserve">fornecimento </w:t>
            </w:r>
            <w:r>
              <w:rPr>
                <w:rFonts w:hint="default" w:ascii="Arial" w:hAnsi="Arial"/>
                <w:szCs w:val="24"/>
              </w:rPr>
              <w:t>de água mineral com e sem retorno de vasilhame, bem como em fardos com garrafas de no mínimo 500ml e máximo 510ml, com 12 unidades cada fardo, ambas sem gás, incluindo transporte e entrega</w:t>
            </w:r>
            <w:r>
              <w:rPr>
                <w:rFonts w:hint="default" w:ascii="Arial" w:hAnsi="Arial"/>
                <w:szCs w:val="24"/>
                <w:lang w:val="pt-BR"/>
              </w:rPr>
              <w:t xml:space="preserve"> em atendimento</w:t>
            </w:r>
            <w:r>
              <w:rPr>
                <w:rFonts w:hint="default" w:ascii="Arial" w:hAnsi="Arial"/>
                <w:szCs w:val="24"/>
              </w:rPr>
              <w:t xml:space="preserve"> </w:t>
            </w:r>
            <w:r>
              <w:rPr>
                <w:rFonts w:hint="default" w:ascii="Arial" w:hAnsi="Arial"/>
                <w:szCs w:val="24"/>
                <w:lang w:val="pt-BR"/>
              </w:rPr>
              <w:t>à</w:t>
            </w:r>
            <w:r>
              <w:rPr>
                <w:rFonts w:hint="default" w:ascii="Arial" w:hAnsi="Arial"/>
                <w:szCs w:val="24"/>
              </w:rPr>
              <w:t xml:space="preserve">s demandas da Prefeitura </w:t>
            </w:r>
            <w:r>
              <w:rPr>
                <w:rFonts w:hint="default" w:ascii="Arial" w:hAnsi="Arial"/>
                <w:szCs w:val="24"/>
                <w:lang w:val="pt-BR"/>
              </w:rPr>
              <w:t>Municipal</w:t>
            </w:r>
            <w:r>
              <w:rPr>
                <w:rFonts w:hint="default" w:ascii="Arial" w:hAnsi="Arial"/>
                <w:szCs w:val="24"/>
              </w:rPr>
              <w:t xml:space="preserve">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758ADB70">
            <w:pPr>
              <w:jc w:val="both"/>
              <w:rPr>
                <w:rFonts w:hint="default" w:ascii="Arial" w:hAnsi="Arial" w:cs="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R$ 72.822,58</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22EFE2C">
      <w:pPr>
        <w:jc w:val="center"/>
        <w:rPr>
          <w:rFonts w:ascii="Arial" w:hAnsi="Arial" w:cs="Arial"/>
          <w:sz w:val="20"/>
        </w:rPr>
      </w:pPr>
    </w:p>
    <w:p w14:paraId="1F9A47F3">
      <w:pPr>
        <w:jc w:val="center"/>
        <w:rPr>
          <w:rFonts w:ascii="Arial" w:hAnsi="Arial" w:cs="Arial"/>
          <w:sz w:val="20"/>
        </w:rPr>
      </w:pPr>
    </w:p>
    <w:p w14:paraId="4350EE25">
      <w:pPr>
        <w:jc w:val="center"/>
        <w:rPr>
          <w:rFonts w:ascii="Arial" w:hAnsi="Arial" w:cs="Arial"/>
          <w:sz w:val="20"/>
        </w:rPr>
      </w:pPr>
    </w:p>
    <w:p w14:paraId="47F9FB7C">
      <w:pPr>
        <w:jc w:val="center"/>
        <w:rPr>
          <w:rFonts w:ascii="Arial" w:hAnsi="Arial" w:cs="Arial"/>
          <w:sz w:val="20"/>
        </w:rPr>
      </w:pPr>
    </w:p>
    <w:p w14:paraId="750DEEA8">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068/2025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150/2025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05/09/2025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70"/>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70"/>
          <w:rFonts w:ascii="Arial" w:hAnsi="Arial" w:cs="Arial"/>
          <w:b/>
          <w:color w:val="auto"/>
          <w:sz w:val="20"/>
          <w:szCs w:val="20"/>
        </w:rPr>
        <w:t>www.comprasgovernamentais.gov.br</w:t>
      </w:r>
      <w:r>
        <w:rPr>
          <w:rStyle w:val="270"/>
          <w:rFonts w:ascii="Arial" w:hAnsi="Arial" w:cs="Arial"/>
          <w:b/>
          <w:color w:val="auto"/>
          <w:sz w:val="20"/>
          <w:szCs w:val="20"/>
        </w:rPr>
        <w:fldChar w:fldCharType="end"/>
      </w:r>
    </w:p>
    <w:p w14:paraId="7C116D94">
      <w:pPr>
        <w:rPr>
          <w:rStyle w:val="270"/>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150/2025</w:t>
      </w:r>
      <w:r>
        <w:rPr>
          <w:rFonts w:hint="default" w:ascii="Arial" w:hAnsi="Arial" w:cs="Arial"/>
          <w:sz w:val="18"/>
          <w:szCs w:val="18"/>
        </w:rPr>
        <w:t xml:space="preserve"> para Sistema de Registro de Preços n° </w:t>
      </w:r>
      <w:r>
        <w:rPr>
          <w:rFonts w:hint="default" w:ascii="Arial" w:hAnsi="Arial" w:cs="Arial"/>
          <w:sz w:val="18"/>
          <w:szCs w:val="18"/>
          <w:lang w:val="pt-BR"/>
        </w:rPr>
        <w:t>068/2025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068/2025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fornecimento de água mineral com e sem retorno de vasilhame, bem como em fardos com garrafas de no mínimo 500ml e máximo 510ml, com 12 unidades cada fardo, ambas sem gás, incluindo transporte e entrega, para atender as demandas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fornecimento de água mineral com e sem retorno de vasilhame, bem como em fardos com garrafas de no mínimo 500ml e máximo 510ml, com 12 unidades cada fardo, ambas sem gás, incluindo transporte e entrega, para atender as demandas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6"/>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lote/item</w:t>
      </w:r>
      <w:r>
        <w:rPr>
          <w:rFonts w:hint="default" w:ascii="Arial" w:hAnsi="Arial" w:cs="Arial"/>
          <w:sz w:val="18"/>
          <w:szCs w:val="18"/>
        </w:rPr>
        <w:t>, observadas as exigências contidas neste Edital e seus Anexos quanto às especificações do objeto.</w:t>
      </w:r>
    </w:p>
    <w:p w14:paraId="5A1737B7">
      <w:pPr>
        <w:pStyle w:val="272"/>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1A5666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tbl>
      <w:tblPr>
        <w:tblStyle w:val="6"/>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1BB02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1ECCD035">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SECRETARIA/SETOR</w:t>
            </w:r>
          </w:p>
        </w:tc>
        <w:tc>
          <w:tcPr>
            <w:tcW w:w="4604" w:type="dxa"/>
            <w:vAlign w:val="center"/>
          </w:tcPr>
          <w:p w14:paraId="13F89F2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72DF9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7BBAA1DD">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Municipal de Saúde</w:t>
            </w:r>
          </w:p>
        </w:tc>
        <w:tc>
          <w:tcPr>
            <w:tcW w:w="4604" w:type="dxa"/>
            <w:vAlign w:val="center"/>
          </w:tcPr>
          <w:p w14:paraId="2B82524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09</w:t>
            </w:r>
          </w:p>
        </w:tc>
      </w:tr>
      <w:tr w14:paraId="48A53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43152D32">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Agricultura e Meio Ambiente</w:t>
            </w:r>
          </w:p>
        </w:tc>
        <w:tc>
          <w:tcPr>
            <w:tcW w:w="4604" w:type="dxa"/>
            <w:vAlign w:val="center"/>
          </w:tcPr>
          <w:p w14:paraId="3E07AFB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15</w:t>
            </w:r>
          </w:p>
        </w:tc>
      </w:tr>
      <w:tr w14:paraId="1187F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32B3149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Obras</w:t>
            </w:r>
          </w:p>
        </w:tc>
        <w:tc>
          <w:tcPr>
            <w:tcW w:w="4604" w:type="dxa"/>
            <w:vAlign w:val="center"/>
          </w:tcPr>
          <w:p w14:paraId="5CF8468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12</w:t>
            </w:r>
          </w:p>
        </w:tc>
      </w:tr>
      <w:tr w14:paraId="1DB82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A0212A3">
            <w:pPr>
              <w:widowControl w:val="0"/>
              <w:spacing w:after="0" w:line="240" w:lineRule="auto"/>
              <w:ind w:right="209"/>
              <w:jc w:val="center"/>
              <w:rPr>
                <w:rFonts w:ascii="Arial" w:hAnsi="Arial" w:eastAsia="Arial" w:cs="Arial"/>
                <w:b w:val="0"/>
                <w:bCs/>
                <w:sz w:val="18"/>
                <w:szCs w:val="18"/>
              </w:rPr>
            </w:pPr>
            <w:r>
              <w:rPr>
                <w:rFonts w:ascii="Arial" w:hAnsi="Arial" w:eastAsia="Arial" w:cs="Arial"/>
                <w:b w:val="0"/>
                <w:bCs/>
                <w:sz w:val="18"/>
                <w:szCs w:val="18"/>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5EAE144B">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16</w:t>
            </w:r>
          </w:p>
        </w:tc>
      </w:tr>
      <w:tr w14:paraId="30340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A9D6C22">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1DC25415">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723D3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952C66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vAlign w:val="center"/>
          </w:tcPr>
          <w:p w14:paraId="0274036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11</w:t>
            </w:r>
          </w:p>
        </w:tc>
      </w:tr>
      <w:tr w14:paraId="3B9A1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50B334D">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451ABDB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17</w:t>
            </w:r>
          </w:p>
        </w:tc>
      </w:tr>
      <w:tr w14:paraId="61A94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6A20CA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5F8D774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w:t>
            </w:r>
          </w:p>
        </w:tc>
      </w:tr>
      <w:tr w14:paraId="30D5F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C249C87">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7D1AD135">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14</w:t>
            </w:r>
          </w:p>
        </w:tc>
      </w:tr>
      <w:tr w14:paraId="2BFC7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B4B4461">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72B2115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6ECEE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E45FDB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269BC16A">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23D8DE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1FF8D61">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549A6AFE">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r w14:paraId="58D22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710E338">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06B6366B">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r w14:paraId="2A9EB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1E689D4">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Procuradoria</w:t>
            </w:r>
          </w:p>
        </w:tc>
        <w:tc>
          <w:tcPr>
            <w:tcW w:w="4604" w:type="dxa"/>
            <w:tcBorders>
              <w:top w:val="single" w:color="000000" w:sz="4" w:space="0"/>
              <w:left w:val="single" w:color="000000" w:sz="4" w:space="0"/>
              <w:bottom w:val="single" w:color="000000" w:sz="4" w:space="0"/>
              <w:right w:val="single" w:color="000000" w:sz="4" w:space="0"/>
            </w:tcBorders>
            <w:vAlign w:val="center"/>
          </w:tcPr>
          <w:p w14:paraId="154473A6">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03</w:t>
            </w:r>
          </w:p>
        </w:tc>
      </w:tr>
    </w:tbl>
    <w:p w14:paraId="62F79083">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3EE44B25">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57C2D7F">
      <w:pPr>
        <w:spacing w:line="360" w:lineRule="auto"/>
        <w:jc w:val="both"/>
        <w:rPr>
          <w:rFonts w:ascii="Arial" w:hAnsi="Arial" w:cs="Arial"/>
          <w:b/>
          <w:sz w:val="18"/>
          <w:szCs w:val="18"/>
          <w:u w:val="single"/>
        </w:rPr>
      </w:pPr>
      <w:r>
        <w:rPr>
          <w:rFonts w:ascii="Arial" w:hAnsi="Arial" w:cs="Arial"/>
          <w:b/>
          <w:sz w:val="18"/>
          <w:szCs w:val="18"/>
          <w:u w:val="single"/>
        </w:rPr>
        <w:t xml:space="preserve">3.7 Para todos os </w:t>
      </w:r>
      <w:r>
        <w:rPr>
          <w:rFonts w:hint="default" w:ascii="Arial" w:hAnsi="Arial" w:cs="Arial"/>
          <w:b/>
          <w:sz w:val="18"/>
          <w:szCs w:val="18"/>
          <w:u w:val="single"/>
          <w:lang w:val="pt-BR"/>
        </w:rPr>
        <w:t xml:space="preserve">lotes </w:t>
      </w:r>
      <w:r>
        <w:rPr>
          <w:rFonts w:ascii="Arial" w:hAnsi="Arial" w:cs="Arial"/>
          <w:b/>
          <w:sz w:val="18"/>
          <w:szCs w:val="18"/>
          <w:u w:val="single"/>
        </w:rPr>
        <w:t>a participação é exclusiva a Microempresas e Empresas de Pequeno Porte ou equiparadas, nos termos do art. 48 da Lei Complementar nº 123, de 14 de dezembro de 2006.</w:t>
      </w:r>
    </w:p>
    <w:p w14:paraId="0DEEFF12">
      <w:pPr>
        <w:pStyle w:val="313"/>
        <w:numPr>
          <w:ilvl w:val="2"/>
          <w:numId w:val="3"/>
        </w:numPr>
        <w:spacing w:before="0" w:after="0" w:line="360" w:lineRule="auto"/>
        <w:ind w:left="0" w:firstLine="0"/>
        <w:rPr>
          <w:i w:val="0"/>
          <w:color w:val="auto"/>
          <w:sz w:val="18"/>
          <w:szCs w:val="18"/>
        </w:rPr>
      </w:pPr>
      <w:bookmarkStart w:id="2" w:name="_Ref117015508"/>
      <w:r>
        <w:rPr>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313"/>
        <w:numPr>
          <w:ilvl w:val="2"/>
          <w:numId w:val="3"/>
        </w:numPr>
        <w:spacing w:before="0" w:after="0" w:line="360" w:lineRule="auto"/>
        <w:ind w:left="0" w:firstLine="0"/>
        <w:rPr>
          <w:i w:val="0"/>
          <w:color w:val="auto"/>
          <w:sz w:val="18"/>
          <w:szCs w:val="18"/>
        </w:rPr>
      </w:pPr>
      <w:r>
        <w:rPr>
          <w:i w:val="0"/>
          <w:color w:val="auto"/>
          <w:sz w:val="18"/>
          <w:szCs w:val="18"/>
        </w:rPr>
        <w:t xml:space="preserve">Será concedido tratamento favorecido para as microempresas e empresas de pequeno porte, para as sociedades cooperativas </w:t>
      </w:r>
      <w:r>
        <w:rPr>
          <w:rFonts w:eastAsia="Times New Roman"/>
          <w:i w:val="0"/>
          <w:color w:val="auto"/>
          <w:sz w:val="18"/>
          <w:szCs w:val="18"/>
        </w:rPr>
        <w:t xml:space="preserve">mencionadas no </w:t>
      </w:r>
      <w:r>
        <w:rPr>
          <w:sz w:val="18"/>
          <w:szCs w:val="18"/>
        </w:rPr>
        <w:fldChar w:fldCharType="begin"/>
      </w:r>
      <w:r>
        <w:rPr>
          <w:sz w:val="18"/>
          <w:szCs w:val="18"/>
        </w:rPr>
        <w:instrText xml:space="preserve"> HYPERLINK "http://www.planalto.gov.br/ccivil_03/_ato2019-2022/2021/lei/L14133.htm" \l "art16" </w:instrText>
      </w:r>
      <w:r>
        <w:rPr>
          <w:sz w:val="18"/>
          <w:szCs w:val="18"/>
        </w:rPr>
        <w:fldChar w:fldCharType="separate"/>
      </w:r>
      <w:r>
        <w:rPr>
          <w:rStyle w:val="13"/>
          <w:rFonts w:eastAsia="Times New Roman" w:cs="Arial"/>
          <w:i w:val="0"/>
          <w:color w:val="auto"/>
          <w:sz w:val="18"/>
          <w:szCs w:val="18"/>
        </w:rPr>
        <w:t xml:space="preserve">artigo </w:t>
      </w:r>
      <w:r>
        <w:rPr>
          <w:rStyle w:val="13"/>
          <w:rFonts w:cs="Arial"/>
          <w:i w:val="0"/>
          <w:color w:val="auto"/>
          <w:sz w:val="18"/>
          <w:szCs w:val="18"/>
        </w:rPr>
        <w:t>16 da Lei nº 14.133, de 2021</w:t>
      </w:r>
      <w:r>
        <w:rPr>
          <w:rStyle w:val="13"/>
          <w:rFonts w:cs="Arial"/>
          <w:i w:val="0"/>
          <w:color w:val="auto"/>
          <w:sz w:val="18"/>
          <w:szCs w:val="18"/>
        </w:rPr>
        <w:fldChar w:fldCharType="end"/>
      </w:r>
      <w:r>
        <w:rPr>
          <w:i w:val="0"/>
          <w:color w:val="auto"/>
          <w:sz w:val="18"/>
          <w:szCs w:val="18"/>
        </w:rPr>
        <w:t xml:space="preserve">, para o agricultor familiar, o produtor rural pessoa física e para o microempreendedor individual - MEI, nos limites previstos da </w:t>
      </w:r>
      <w:r>
        <w:rPr>
          <w:sz w:val="18"/>
          <w:szCs w:val="18"/>
        </w:rPr>
        <w:fldChar w:fldCharType="begin"/>
      </w:r>
      <w:r>
        <w:rPr>
          <w:sz w:val="18"/>
          <w:szCs w:val="18"/>
        </w:rPr>
        <w:instrText xml:space="preserve"> HYPERLINK "https://www.planalto.gov.br/ccivil_03/leis/lcp/lcp123.htm" </w:instrText>
      </w:r>
      <w:r>
        <w:rPr>
          <w:sz w:val="18"/>
          <w:szCs w:val="18"/>
        </w:rPr>
        <w:fldChar w:fldCharType="separate"/>
      </w:r>
      <w:r>
        <w:rPr>
          <w:rStyle w:val="13"/>
          <w:rFonts w:cs="Arial"/>
          <w:i w:val="0"/>
          <w:color w:val="auto"/>
          <w:sz w:val="18"/>
          <w:szCs w:val="18"/>
        </w:rPr>
        <w:t>Lei Complementar nº 123, de 2006</w:t>
      </w:r>
      <w:r>
        <w:rPr>
          <w:rStyle w:val="13"/>
          <w:rFonts w:cs="Arial"/>
          <w:i w:val="0"/>
          <w:color w:val="auto"/>
          <w:sz w:val="18"/>
          <w:szCs w:val="18"/>
        </w:rPr>
        <w:fldChar w:fldCharType="end"/>
      </w:r>
      <w:r>
        <w:rPr>
          <w:i w:val="0"/>
          <w:color w:val="auto"/>
          <w:sz w:val="18"/>
          <w:szCs w:val="18"/>
        </w:rPr>
        <w:t xml:space="preserve"> e do Decreto n.º 8.538, de 2015.</w:t>
      </w:r>
    </w:p>
    <w:p w14:paraId="1D832B4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3B9FB93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6"/>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6"/>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6"/>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6"/>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154080B6">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3"/>
        <w:rPr>
          <w:rFonts w:hint="default" w:ascii="Arial" w:hAnsi="Arial" w:cs="Arial"/>
          <w:sz w:val="18"/>
          <w:szCs w:val="18"/>
        </w:rPr>
      </w:pPr>
    </w:p>
    <w:p w14:paraId="277D730A">
      <w:pPr>
        <w:pStyle w:val="274"/>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23230533">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71609A20">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4"/>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1F41931E">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4"/>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57B2DE27">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6"/>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6"/>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7"/>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6"/>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7"/>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7"/>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6"/>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6"/>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6"/>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6"/>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r>
        <w:rPr>
          <w:rFonts w:hint="default" w:cs="Arial"/>
          <w:sz w:val="18"/>
          <w:szCs w:val="18"/>
          <w:lang w:val="pt-BR"/>
        </w:rPr>
        <w:t>, quando for o caso</w:t>
      </w:r>
      <w:r>
        <w:rPr>
          <w:rFonts w:hint="default" w:ascii="Arial" w:hAnsi="Arial" w:cs="Arial"/>
          <w:sz w:val="18"/>
          <w:szCs w:val="18"/>
        </w:rPr>
        <w:t>;</w:t>
      </w:r>
    </w:p>
    <w:p w14:paraId="5303B9D6">
      <w:pPr>
        <w:pageBreakBefore w:val="0"/>
        <w:widowControl/>
        <w:kinsoku/>
        <w:wordWrap/>
        <w:overflowPunct/>
        <w:topLinePunct w:val="0"/>
        <w:autoSpaceDE w:val="0"/>
        <w:autoSpaceDN w:val="0"/>
        <w:bidi w:val="0"/>
        <w:adjustRightInd/>
        <w:snapToGrid/>
        <w:spacing w:line="360" w:lineRule="auto"/>
        <w:ind w:left="0" w:leftChars="0" w:right="0" w:firstLine="0" w:firstLineChars="0"/>
        <w:jc w:val="both"/>
        <w:textAlignment w:val="auto"/>
        <w:rPr>
          <w:rFonts w:hint="default" w:ascii="Arial" w:hAnsi="Arial" w:cs="Arial" w:eastAsiaTheme="minorHAnsi"/>
          <w:color w:val="000000"/>
          <w:sz w:val="18"/>
          <w:szCs w:val="18"/>
          <w:highlight w:val="none"/>
        </w:rPr>
      </w:pPr>
      <w:r>
        <w:rPr>
          <w:rFonts w:hint="default" w:ascii="Arial" w:hAnsi="Arial" w:cs="Arial"/>
          <w:sz w:val="18"/>
          <w:szCs w:val="18"/>
          <w:lang w:val="pt-BR"/>
        </w:rPr>
        <w:t xml:space="preserve">5.1.2.1 </w:t>
      </w:r>
      <w:r>
        <w:rPr>
          <w:rFonts w:hint="default" w:ascii="Arial" w:hAnsi="Arial" w:cs="Arial" w:eastAsiaTheme="minorHAnsi"/>
          <w:color w:val="000000"/>
          <w:sz w:val="18"/>
          <w:szCs w:val="18"/>
          <w:highlight w:val="none"/>
        </w:rPr>
        <w:t>Não há vedação de marcas ou produtos, desde que cumpra todos os requisitos solicitados pelo presente documento.</w:t>
      </w:r>
    </w:p>
    <w:p w14:paraId="18B0B914">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6"/>
        <w:tabs>
          <w:tab w:val="left" w:pos="851"/>
          <w:tab w:val="left" w:pos="993"/>
        </w:tabs>
        <w:spacing w:before="0" w:after="0" w:line="240" w:lineRule="auto"/>
        <w:rPr>
          <w:rFonts w:hint="default" w:ascii="Arial" w:hAnsi="Arial" w:cs="Arial"/>
          <w:sz w:val="18"/>
          <w:szCs w:val="18"/>
        </w:rPr>
      </w:pPr>
    </w:p>
    <w:p w14:paraId="4F9E1FE1">
      <w:pPr>
        <w:pStyle w:val="281"/>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48E816BC">
      <w:pPr>
        <w:pStyle w:val="306"/>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r>
        <w:rPr>
          <w:rFonts w:hint="default" w:cs="Arial"/>
          <w:b/>
          <w:bCs/>
          <w:color w:val="000000"/>
          <w:sz w:val="18"/>
          <w:szCs w:val="18"/>
          <w:highlight w:val="yellow"/>
          <w:shd w:val="clear" w:color="auto" w:fill="FFFFFF"/>
          <w:lang w:val="pt-BR"/>
        </w:rPr>
        <w:t xml:space="preserve"> </w:t>
      </w:r>
    </w:p>
    <w:p w14:paraId="5C1B77D1">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7"/>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7"/>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7"/>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7"/>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6"/>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6"/>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6"/>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6"/>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630E34F5">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4EB6CE88">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8"/>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78113A2D">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7"/>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7"/>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6"/>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6"/>
        <w:tabs>
          <w:tab w:val="left" w:pos="851"/>
          <w:tab w:val="left" w:pos="993"/>
        </w:tabs>
        <w:spacing w:before="0" w:after="0" w:line="240" w:lineRule="auto"/>
        <w:rPr>
          <w:rFonts w:hint="default" w:ascii="Arial" w:hAnsi="Arial" w:cs="Arial"/>
          <w:sz w:val="18"/>
          <w:szCs w:val="18"/>
        </w:rPr>
      </w:pPr>
    </w:p>
    <w:p w14:paraId="617BED21">
      <w:pPr>
        <w:pStyle w:val="223"/>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3"/>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3"/>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3"/>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3"/>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725EB89B">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F4AB838">
      <w:pPr>
        <w:pStyle w:val="307"/>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C44FBFF">
      <w:pPr>
        <w:pStyle w:val="307"/>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4D7EB39">
      <w:pPr>
        <w:pStyle w:val="307"/>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11517942">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6"/>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7"/>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8"/>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8"/>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6"/>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7"/>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7"/>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6"/>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7"/>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6"/>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6"/>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6"/>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6"/>
        <w:numPr>
          <w:ilvl w:val="1"/>
          <w:numId w:val="8"/>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6"/>
        <w:tabs>
          <w:tab w:val="left" w:pos="709"/>
          <w:tab w:val="left" w:pos="851"/>
          <w:tab w:val="left" w:pos="993"/>
        </w:tabs>
        <w:spacing w:before="0" w:after="0" w:line="240" w:lineRule="auto"/>
        <w:rPr>
          <w:rFonts w:hint="default" w:ascii="Arial" w:hAnsi="Arial" w:cs="Arial"/>
          <w:sz w:val="18"/>
          <w:szCs w:val="18"/>
        </w:rPr>
      </w:pPr>
    </w:p>
    <w:p w14:paraId="3490262C">
      <w:pPr>
        <w:pStyle w:val="281"/>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7D1B7067">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70E81A65">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012A37CD">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D0D3797">
      <w:pPr>
        <w:pStyle w:val="223"/>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41D69E20">
      <w:pPr>
        <w:keepNext w:val="0"/>
        <w:keepLines w:val="0"/>
        <w:pageBreakBefore w:val="0"/>
        <w:widowControl/>
        <w:pBdr>
          <w:top w:val="single" w:color="auto" w:sz="4" w:space="0"/>
          <w:left w:val="single" w:color="auto" w:sz="4" w:space="0"/>
          <w:bottom w:val="single" w:color="auto" w:sz="4" w:space="0"/>
          <w:right w:val="single" w:color="auto" w:sz="4" w:space="0"/>
          <w:between w:val="none" w:color="auto" w:sz="0" w:space="0"/>
        </w:pBdr>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center"/>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24F4B657">
      <w:pPr>
        <w:keepNext w:val="0"/>
        <w:keepLines w:val="0"/>
        <w:pageBreakBefore w:val="0"/>
        <w:widowControl/>
        <w:pBdr>
          <w:top w:val="single" w:color="auto" w:sz="4" w:space="0"/>
          <w:left w:val="single" w:color="auto" w:sz="4" w:space="0"/>
          <w:bottom w:val="single" w:color="auto" w:sz="4" w:space="0"/>
          <w:right w:val="single" w:color="auto" w:sz="4" w:space="0"/>
          <w:between w:val="none" w:color="auto" w:sz="0" w:space="0"/>
        </w:pBdr>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center"/>
        <w:rPr>
          <w:rFonts w:hint="default" w:ascii="Arial" w:hAnsi="Arial" w:eastAsia="Times New Roman" w:cs="Arial"/>
          <w:b/>
          <w:color w:val="000000"/>
          <w:sz w:val="18"/>
          <w:szCs w:val="18"/>
        </w:rPr>
      </w:pPr>
      <w:r>
        <w:rPr>
          <w:rFonts w:hint="default" w:ascii="Arial" w:hAnsi="Arial"/>
          <w:sz w:val="18"/>
          <w:szCs w:val="18"/>
          <w:lang w:val="pt-BR"/>
        </w:rPr>
        <w:t xml:space="preserve">8.9.5.2 </w:t>
      </w:r>
      <w:r>
        <w:rPr>
          <w:rFonts w:hint="default" w:ascii="Arial" w:hAnsi="Arial" w:eastAsia="Times New Roman" w:cs="Arial"/>
          <w:b/>
          <w:bCs/>
          <w:sz w:val="18"/>
          <w:szCs w:val="18"/>
        </w:rPr>
        <w:t xml:space="preserve">A contratada deverá possuir </w:t>
      </w:r>
      <w:r>
        <w:rPr>
          <w:rFonts w:hint="default" w:ascii="Arial" w:hAnsi="Arial" w:cs="Arial"/>
          <w:b/>
          <w:bCs/>
          <w:sz w:val="18"/>
          <w:szCs w:val="18"/>
        </w:rPr>
        <w:t xml:space="preserve">estrutura compatível com o fornecimento dos itens, ora objeto da contratação, com sede ou unidade operacional </w:t>
      </w:r>
      <w:r>
        <w:rPr>
          <w:rFonts w:hint="default" w:ascii="Arial" w:hAnsi="Arial" w:cs="Arial"/>
          <w:b/>
          <w:bCs/>
          <w:sz w:val="18"/>
          <w:szCs w:val="18"/>
          <w:highlight w:val="yellow"/>
        </w:rPr>
        <w:t>localizada em até 20 (vinte) quilômetros da sede da Prefeitura</w:t>
      </w:r>
      <w:r>
        <w:rPr>
          <w:rFonts w:hint="default" w:ascii="Arial" w:hAnsi="Arial" w:cs="Arial"/>
          <w:b/>
          <w:bCs/>
          <w:sz w:val="18"/>
          <w:szCs w:val="18"/>
        </w:rPr>
        <w:t>, a qual está localizada na Praça Santa Rita, nº 462, Centro, cidade de Cataguases - MG, de forma a assegurar agilidade na entrega .</w:t>
      </w:r>
    </w:p>
    <w:p w14:paraId="5589E2DB">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b/>
          <w:bCs/>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3"/>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457CF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7"/>
        <w:tabs>
          <w:tab w:val="left" w:pos="993"/>
        </w:tabs>
        <w:spacing w:before="0" w:after="0" w:line="360" w:lineRule="auto"/>
        <w:ind w:left="0"/>
        <w:rPr>
          <w:rFonts w:hint="default" w:ascii="Arial" w:hAnsi="Arial" w:cs="Arial"/>
          <w:sz w:val="18"/>
          <w:szCs w:val="18"/>
        </w:rPr>
      </w:pPr>
    </w:p>
    <w:p w14:paraId="7AD5C51D">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6ED46D0B">
      <w:pPr>
        <w:pStyle w:val="307"/>
        <w:tabs>
          <w:tab w:val="left" w:pos="993"/>
        </w:tabs>
        <w:spacing w:before="0" w:after="0" w:line="240" w:lineRule="auto"/>
        <w:ind w:left="0"/>
        <w:rPr>
          <w:rFonts w:hint="default" w:ascii="Arial" w:hAnsi="Arial" w:cs="Arial"/>
          <w:sz w:val="18"/>
          <w:szCs w:val="18"/>
        </w:rPr>
      </w:pPr>
    </w:p>
    <w:p w14:paraId="793331B7">
      <w:pPr>
        <w:pStyle w:val="223"/>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3"/>
        <w:spacing w:line="240" w:lineRule="auto"/>
        <w:ind w:left="0"/>
        <w:jc w:val="both"/>
        <w:rPr>
          <w:rFonts w:hint="default" w:ascii="Arial" w:hAnsi="Arial" w:eastAsia="Arial" w:cs="Arial"/>
          <w:b/>
          <w:sz w:val="18"/>
          <w:szCs w:val="18"/>
        </w:rPr>
      </w:pPr>
    </w:p>
    <w:p w14:paraId="1F1BD9CB">
      <w:pPr>
        <w:pStyle w:val="306"/>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DE857B9">
      <w:pPr>
        <w:pStyle w:val="307"/>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75818531">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7"/>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7"/>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621F3228">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6"/>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3520743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6"/>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6"/>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6"/>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00C6C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6"/>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81"/>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4070C5EE">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7"/>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7"/>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7"/>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7"/>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6"/>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6"/>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6"/>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7C84D15E">
      <w:pPr>
        <w:pStyle w:val="306"/>
        <w:tabs>
          <w:tab w:val="left" w:pos="993"/>
        </w:tabs>
        <w:spacing w:before="0" w:after="0" w:line="360" w:lineRule="auto"/>
        <w:rPr>
          <w:rFonts w:hint="default" w:ascii="Arial" w:hAnsi="Arial" w:cs="Arial"/>
          <w:sz w:val="18"/>
          <w:szCs w:val="18"/>
        </w:rPr>
      </w:pPr>
    </w:p>
    <w:p w14:paraId="7E5DE3FF">
      <w:pPr>
        <w:pStyle w:val="281"/>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81"/>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3"/>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3"/>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3"/>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6"/>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6"/>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6"/>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6"/>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6"/>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6"/>
        <w:tabs>
          <w:tab w:val="left" w:pos="0"/>
        </w:tabs>
        <w:suppressAutoHyphens w:val="0"/>
        <w:spacing w:before="0" w:after="0" w:line="240" w:lineRule="auto"/>
        <w:rPr>
          <w:rFonts w:hint="default" w:ascii="Arial" w:hAnsi="Arial" w:cs="Arial"/>
          <w:sz w:val="18"/>
          <w:szCs w:val="18"/>
        </w:rPr>
      </w:pPr>
    </w:p>
    <w:p w14:paraId="3E0EFF75">
      <w:pPr>
        <w:pStyle w:val="281"/>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81"/>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7"/>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7"/>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6"/>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7"/>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7"/>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6"/>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7"/>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7"/>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6"/>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7"/>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7"/>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7"/>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tbl>
      <w:tblPr>
        <w:tblStyle w:val="6"/>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007AF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52C735F9">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SECRETARIA/SETOR</w:t>
            </w:r>
          </w:p>
        </w:tc>
        <w:tc>
          <w:tcPr>
            <w:tcW w:w="4604" w:type="dxa"/>
            <w:vAlign w:val="center"/>
          </w:tcPr>
          <w:p w14:paraId="548BFAFF">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5BAED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28EBF6C6">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Municipal de Saúde</w:t>
            </w:r>
          </w:p>
        </w:tc>
        <w:tc>
          <w:tcPr>
            <w:tcW w:w="4604" w:type="dxa"/>
            <w:vAlign w:val="center"/>
          </w:tcPr>
          <w:p w14:paraId="45FB31F9">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09</w:t>
            </w:r>
          </w:p>
        </w:tc>
      </w:tr>
      <w:tr w14:paraId="6F27E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59E6EBD1">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Agricultura e Meio Ambiente</w:t>
            </w:r>
          </w:p>
        </w:tc>
        <w:tc>
          <w:tcPr>
            <w:tcW w:w="4604" w:type="dxa"/>
            <w:vAlign w:val="center"/>
          </w:tcPr>
          <w:p w14:paraId="0CDDE7DE">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15</w:t>
            </w:r>
          </w:p>
        </w:tc>
      </w:tr>
      <w:tr w14:paraId="1EF94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DDAB094">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Obras</w:t>
            </w:r>
          </w:p>
        </w:tc>
        <w:tc>
          <w:tcPr>
            <w:tcW w:w="4604" w:type="dxa"/>
            <w:vAlign w:val="center"/>
          </w:tcPr>
          <w:p w14:paraId="07A950C8">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12</w:t>
            </w:r>
          </w:p>
        </w:tc>
      </w:tr>
      <w:tr w14:paraId="620DE2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1CDB48C">
            <w:pPr>
              <w:widowControl w:val="0"/>
              <w:spacing w:after="0" w:line="240" w:lineRule="auto"/>
              <w:ind w:right="209"/>
              <w:jc w:val="center"/>
              <w:rPr>
                <w:rFonts w:ascii="Arial" w:hAnsi="Arial" w:eastAsia="Arial" w:cs="Arial"/>
                <w:b w:val="0"/>
                <w:bCs/>
                <w:sz w:val="18"/>
                <w:szCs w:val="18"/>
              </w:rPr>
            </w:pPr>
            <w:r>
              <w:rPr>
                <w:rFonts w:ascii="Arial" w:hAnsi="Arial" w:eastAsia="Arial" w:cs="Arial"/>
                <w:b w:val="0"/>
                <w:bCs/>
                <w:sz w:val="18"/>
                <w:szCs w:val="18"/>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4D658205">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16</w:t>
            </w:r>
          </w:p>
        </w:tc>
      </w:tr>
      <w:tr w14:paraId="15218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76183C2">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041FF11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6997AC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79F4728">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vAlign w:val="center"/>
          </w:tcPr>
          <w:p w14:paraId="37B73CAA">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11</w:t>
            </w:r>
          </w:p>
        </w:tc>
      </w:tr>
      <w:tr w14:paraId="20F689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4A5AAF5">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500D05A5">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17</w:t>
            </w:r>
          </w:p>
        </w:tc>
      </w:tr>
      <w:tr w14:paraId="262D8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0B5299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1C5CDAD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w:t>
            </w:r>
          </w:p>
        </w:tc>
      </w:tr>
      <w:tr w14:paraId="254C4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FA58D0B">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43B4A24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14</w:t>
            </w:r>
          </w:p>
        </w:tc>
      </w:tr>
      <w:tr w14:paraId="0DD8D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1E41703">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36D818A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5AD2CE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A0527D5">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71BF374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536FC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F1A1E2A">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11D9314B">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r w14:paraId="4D3F3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BAECF6F">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42C1C9BD">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r w14:paraId="240CE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8974B74">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Procuradoria</w:t>
            </w:r>
          </w:p>
        </w:tc>
        <w:tc>
          <w:tcPr>
            <w:tcW w:w="4604" w:type="dxa"/>
            <w:tcBorders>
              <w:top w:val="single" w:color="000000" w:sz="4" w:space="0"/>
              <w:left w:val="single" w:color="000000" w:sz="4" w:space="0"/>
              <w:bottom w:val="single" w:color="000000" w:sz="4" w:space="0"/>
              <w:right w:val="single" w:color="000000" w:sz="4" w:space="0"/>
            </w:tcBorders>
            <w:vAlign w:val="center"/>
          </w:tcPr>
          <w:p w14:paraId="6D631467">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03</w:t>
            </w:r>
          </w:p>
        </w:tc>
      </w:tr>
    </w:tbl>
    <w:p w14:paraId="67D2B537">
      <w:pPr>
        <w:pStyle w:val="223"/>
        <w:tabs>
          <w:tab w:val="left" w:pos="851"/>
          <w:tab w:val="left" w:pos="993"/>
        </w:tabs>
        <w:spacing w:line="360" w:lineRule="auto"/>
        <w:ind w:left="0"/>
        <w:jc w:val="both"/>
        <w:rPr>
          <w:rFonts w:hint="default" w:ascii="Arial" w:hAnsi="Arial" w:cs="Arial"/>
          <w:sz w:val="18"/>
          <w:szCs w:val="18"/>
        </w:rPr>
      </w:pPr>
    </w:p>
    <w:p w14:paraId="3877E167">
      <w:pPr>
        <w:pStyle w:val="223"/>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3"/>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3"/>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R$ 72.822,58 (setenta e dois mil, oitocentos e vinte e dois reais e cinquenta e oito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81"/>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7"/>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8"/>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81"/>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7"/>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7"/>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7"/>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7"/>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7"/>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7"/>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7"/>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7"/>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ii"/>
      <w:bookmarkEnd w:id="29"/>
      <w:bookmarkStart w:id="30" w:name="art155ix"/>
      <w:bookmarkEnd w:id="30"/>
      <w:bookmarkStart w:id="31" w:name="art155vi"/>
      <w:bookmarkEnd w:id="31"/>
      <w:bookmarkStart w:id="32" w:name="art155v"/>
      <w:bookmarkEnd w:id="32"/>
      <w:bookmarkStart w:id="33" w:name="art155ii"/>
      <w:bookmarkEnd w:id="33"/>
      <w:bookmarkStart w:id="34" w:name="art155viii"/>
      <w:bookmarkEnd w:id="34"/>
      <w:bookmarkStart w:id="35" w:name="art155x"/>
      <w:bookmarkEnd w:id="35"/>
      <w:bookmarkStart w:id="36" w:name="art155vii"/>
      <w:bookmarkEnd w:id="36"/>
      <w:bookmarkStart w:id="37" w:name="art155iv"/>
      <w:bookmarkEnd w:id="37"/>
    </w:p>
    <w:p w14:paraId="00FFB063">
      <w:pPr>
        <w:pStyle w:val="307"/>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17.3.1, 17.3.2, 17.3.3, 17.3.4, 17.3.5 e 17.3.6,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17.3.8, 17.3.9, 17.3.10, 17.3.11 e 17.3.12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7"/>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6"/>
      <w:bookmarkEnd w:id="38"/>
      <w:bookmarkStart w:id="39" w:name="art156§5"/>
      <w:bookmarkEnd w:id="39"/>
      <w:bookmarkStart w:id="40" w:name="art156§6ii"/>
      <w:bookmarkEnd w:id="40"/>
      <w:bookmarkStart w:id="41" w:name="art156§7"/>
      <w:bookmarkEnd w:id="41"/>
      <w:bookmarkStart w:id="42" w:name="art156§4"/>
      <w:bookmarkEnd w:id="42"/>
      <w:bookmarkStart w:id="43" w:name="art156§3"/>
      <w:bookmarkEnd w:id="43"/>
    </w:p>
    <w:p w14:paraId="0E4919D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01F77366">
      <w:pPr>
        <w:pStyle w:val="306"/>
        <w:spacing w:before="0" w:after="0" w:line="240" w:lineRule="auto"/>
        <w:rPr>
          <w:rFonts w:hint="default" w:ascii="Arial" w:hAnsi="Arial" w:cs="Arial"/>
          <w:color w:val="auto"/>
          <w:sz w:val="18"/>
          <w:szCs w:val="18"/>
        </w:rPr>
      </w:pPr>
    </w:p>
    <w:p w14:paraId="6DC978B9">
      <w:pPr>
        <w:pStyle w:val="306"/>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627FFEB">
      <w:pPr>
        <w:pStyle w:val="306"/>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02 de setembro de 2025.</w:t>
      </w:r>
    </w:p>
    <w:p w14:paraId="57096A3B">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7"/>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81"/>
        <w:numPr>
          <w:ilvl w:val="0"/>
          <w:numId w:val="0"/>
        </w:numPr>
        <w:spacing w:before="0"/>
        <w:rPr>
          <w:rFonts w:hint="default" w:ascii="Arial" w:hAnsi="Arial" w:cs="Arial"/>
          <w:sz w:val="18"/>
          <w:szCs w:val="18"/>
        </w:rPr>
      </w:pPr>
      <w:bookmarkStart w:id="45" w:name="_Toc135469236"/>
    </w:p>
    <w:p w14:paraId="4FD99627">
      <w:pPr>
        <w:pStyle w:val="281"/>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6"/>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6"/>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6"/>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6"/>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6"/>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6"/>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6"/>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6"/>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7"/>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7"/>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7"/>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7"/>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7"/>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7"/>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7"/>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7"/>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7"/>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7"/>
        <w:spacing w:before="0" w:after="0" w:line="240" w:lineRule="auto"/>
        <w:ind w:left="0"/>
        <w:rPr>
          <w:rFonts w:hint="default" w:ascii="Arial" w:hAnsi="Arial" w:cs="Arial"/>
          <w:sz w:val="18"/>
          <w:szCs w:val="18"/>
        </w:rPr>
      </w:pPr>
    </w:p>
    <w:p w14:paraId="6CD8DE89">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71"/>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21 de agosto de 2025</w:t>
      </w:r>
      <w:r>
        <w:rPr>
          <w:rFonts w:hint="default" w:ascii="Arial" w:hAnsi="Arial" w:cs="Arial"/>
          <w:sz w:val="18"/>
          <w:szCs w:val="18"/>
        </w:rPr>
        <w:t>.</w:t>
      </w:r>
    </w:p>
    <w:p w14:paraId="1784E1B5">
      <w:pPr>
        <w:ind w:firstLine="567"/>
        <w:jc w:val="center"/>
        <w:rPr>
          <w:rFonts w:hint="default" w:ascii="Arial" w:hAnsi="Arial" w:cs="Arial"/>
          <w:sz w:val="18"/>
          <w:szCs w:val="18"/>
        </w:rPr>
      </w:pPr>
    </w:p>
    <w:p w14:paraId="5F8D8473">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2C1D179">
      <w:pPr>
        <w:jc w:val="center"/>
        <w:rPr>
          <w:rFonts w:ascii="Arial" w:hAnsi="Arial" w:cs="Arial"/>
          <w:b/>
          <w:bCs/>
          <w:color w:val="auto"/>
          <w:sz w:val="32"/>
          <w:szCs w:val="32"/>
        </w:rPr>
      </w:pPr>
    </w:p>
    <w:p w14:paraId="49E7A4BD">
      <w:pPr>
        <w:jc w:val="center"/>
        <w:rPr>
          <w:rFonts w:ascii="Arial" w:hAnsi="Arial" w:cs="Arial"/>
          <w:b/>
          <w:bCs/>
          <w:color w:val="auto"/>
          <w:sz w:val="32"/>
          <w:szCs w:val="32"/>
        </w:rPr>
      </w:pPr>
    </w:p>
    <w:p w14:paraId="0807A842">
      <w:pPr>
        <w:jc w:val="center"/>
        <w:rPr>
          <w:rFonts w:ascii="Arial" w:hAnsi="Arial" w:cs="Arial"/>
          <w:b/>
          <w:bCs/>
          <w:color w:val="auto"/>
          <w:sz w:val="32"/>
          <w:szCs w:val="32"/>
        </w:rPr>
      </w:pPr>
    </w:p>
    <w:p w14:paraId="7B051F22">
      <w:pPr>
        <w:jc w:val="center"/>
        <w:rPr>
          <w:rFonts w:ascii="Arial" w:hAnsi="Arial" w:cs="Arial"/>
          <w:b/>
          <w:bCs/>
          <w:color w:val="auto"/>
          <w:sz w:val="32"/>
          <w:szCs w:val="32"/>
        </w:rPr>
      </w:pPr>
    </w:p>
    <w:p w14:paraId="2D22CE04">
      <w:pPr>
        <w:jc w:val="center"/>
        <w:rPr>
          <w:rFonts w:ascii="Arial" w:hAnsi="Arial" w:cs="Arial"/>
          <w:b/>
          <w:bCs/>
          <w:color w:val="auto"/>
          <w:sz w:val="32"/>
          <w:szCs w:val="32"/>
        </w:rPr>
      </w:pPr>
    </w:p>
    <w:p w14:paraId="1AB662D8">
      <w:pPr>
        <w:jc w:val="center"/>
        <w:rPr>
          <w:rFonts w:ascii="Arial" w:hAnsi="Arial" w:cs="Arial"/>
          <w:b/>
          <w:bCs/>
          <w:color w:val="auto"/>
          <w:sz w:val="32"/>
          <w:szCs w:val="32"/>
        </w:rPr>
      </w:pPr>
    </w:p>
    <w:p w14:paraId="66A195A3">
      <w:pPr>
        <w:jc w:val="center"/>
        <w:rPr>
          <w:rFonts w:ascii="Arial" w:hAnsi="Arial" w:cs="Arial"/>
          <w:b/>
          <w:bCs/>
          <w:color w:val="auto"/>
          <w:sz w:val="32"/>
          <w:szCs w:val="32"/>
        </w:rPr>
      </w:pPr>
    </w:p>
    <w:p w14:paraId="7C617B83">
      <w:pPr>
        <w:jc w:val="center"/>
        <w:rPr>
          <w:rFonts w:ascii="Arial" w:hAnsi="Arial" w:cs="Arial"/>
          <w:b/>
          <w:bCs/>
          <w:color w:val="auto"/>
          <w:sz w:val="32"/>
          <w:szCs w:val="32"/>
        </w:rPr>
      </w:pPr>
    </w:p>
    <w:p w14:paraId="366B7D46">
      <w:pPr>
        <w:jc w:val="center"/>
        <w:rPr>
          <w:rFonts w:ascii="Arial" w:hAnsi="Arial" w:cs="Arial"/>
          <w:b/>
          <w:bCs/>
          <w:color w:val="auto"/>
          <w:sz w:val="32"/>
          <w:szCs w:val="32"/>
        </w:rPr>
      </w:pPr>
    </w:p>
    <w:p w14:paraId="3A98CEA9">
      <w:pPr>
        <w:jc w:val="center"/>
        <w:rPr>
          <w:rFonts w:ascii="Arial" w:hAnsi="Arial" w:cs="Arial"/>
          <w:b/>
          <w:bCs/>
          <w:color w:val="auto"/>
          <w:sz w:val="32"/>
          <w:szCs w:val="32"/>
        </w:rPr>
      </w:pPr>
    </w:p>
    <w:p w14:paraId="0B73A037">
      <w:pPr>
        <w:jc w:val="center"/>
        <w:rPr>
          <w:rFonts w:ascii="Arial" w:hAnsi="Arial" w:cs="Arial"/>
          <w:b/>
          <w:bCs/>
          <w:color w:val="auto"/>
          <w:sz w:val="32"/>
          <w:szCs w:val="32"/>
        </w:rPr>
      </w:pPr>
    </w:p>
    <w:p w14:paraId="5457CADE">
      <w:pPr>
        <w:jc w:val="center"/>
        <w:rPr>
          <w:rFonts w:ascii="Arial" w:hAnsi="Arial" w:cs="Arial"/>
          <w:b/>
          <w:bCs/>
          <w:color w:val="auto"/>
          <w:sz w:val="32"/>
          <w:szCs w:val="32"/>
        </w:rPr>
      </w:pPr>
    </w:p>
    <w:p w14:paraId="0F5FF7C9">
      <w:pPr>
        <w:jc w:val="center"/>
        <w:rPr>
          <w:rFonts w:ascii="Arial" w:hAnsi="Arial" w:cs="Arial"/>
          <w:b/>
          <w:bCs/>
          <w:color w:val="auto"/>
          <w:sz w:val="32"/>
          <w:szCs w:val="32"/>
        </w:rPr>
      </w:pPr>
    </w:p>
    <w:p w14:paraId="7FCC65EB">
      <w:pPr>
        <w:jc w:val="center"/>
        <w:rPr>
          <w:rFonts w:ascii="Arial" w:hAnsi="Arial" w:cs="Arial"/>
          <w:b/>
          <w:bCs/>
          <w:color w:val="auto"/>
          <w:sz w:val="32"/>
          <w:szCs w:val="32"/>
        </w:rPr>
      </w:pPr>
    </w:p>
    <w:p w14:paraId="7E2BDAFB">
      <w:pPr>
        <w:jc w:val="center"/>
        <w:rPr>
          <w:rFonts w:ascii="Arial" w:hAnsi="Arial" w:cs="Arial"/>
          <w:b/>
          <w:bCs/>
          <w:color w:val="auto"/>
          <w:sz w:val="32"/>
          <w:szCs w:val="32"/>
        </w:rPr>
      </w:pPr>
    </w:p>
    <w:p w14:paraId="2661C7A4">
      <w:pPr>
        <w:jc w:val="center"/>
        <w:rPr>
          <w:rFonts w:ascii="Arial" w:hAnsi="Arial" w:cs="Arial"/>
          <w:b/>
          <w:bCs/>
          <w:color w:val="auto"/>
          <w:sz w:val="32"/>
          <w:szCs w:val="32"/>
        </w:rPr>
      </w:pPr>
    </w:p>
    <w:p w14:paraId="7CA4C901">
      <w:pPr>
        <w:jc w:val="center"/>
        <w:rPr>
          <w:rFonts w:ascii="Arial" w:hAnsi="Arial" w:cs="Arial"/>
          <w:b/>
          <w:bCs/>
          <w:color w:val="auto"/>
          <w:sz w:val="32"/>
          <w:szCs w:val="32"/>
        </w:rPr>
      </w:pPr>
    </w:p>
    <w:p w14:paraId="48418951">
      <w:pPr>
        <w:jc w:val="center"/>
        <w:rPr>
          <w:rFonts w:ascii="Arial" w:hAnsi="Arial" w:cs="Arial"/>
          <w:b/>
          <w:bCs/>
          <w:color w:val="auto"/>
          <w:sz w:val="32"/>
          <w:szCs w:val="32"/>
        </w:rPr>
      </w:pPr>
    </w:p>
    <w:p w14:paraId="055336E9">
      <w:pPr>
        <w:jc w:val="center"/>
        <w:rPr>
          <w:rFonts w:ascii="Arial" w:hAnsi="Arial" w:cs="Arial"/>
          <w:b/>
          <w:bCs/>
          <w:color w:val="auto"/>
          <w:sz w:val="32"/>
          <w:szCs w:val="32"/>
        </w:rPr>
      </w:pPr>
    </w:p>
    <w:p w14:paraId="2DFDA372">
      <w:pPr>
        <w:jc w:val="center"/>
        <w:rPr>
          <w:rFonts w:ascii="Arial" w:hAnsi="Arial" w:cs="Arial"/>
          <w:b/>
          <w:bCs/>
          <w:color w:val="auto"/>
          <w:sz w:val="32"/>
          <w:szCs w:val="32"/>
        </w:rPr>
      </w:pPr>
    </w:p>
    <w:p w14:paraId="37AF9ADC">
      <w:pPr>
        <w:jc w:val="center"/>
        <w:rPr>
          <w:rFonts w:ascii="Arial" w:hAnsi="Arial" w:cs="Arial"/>
          <w:b/>
          <w:bCs/>
          <w:color w:val="auto"/>
          <w:sz w:val="32"/>
          <w:szCs w:val="32"/>
        </w:rPr>
      </w:pPr>
    </w:p>
    <w:p w14:paraId="699BAA9B">
      <w:pPr>
        <w:jc w:val="center"/>
        <w:rPr>
          <w:rFonts w:ascii="Arial" w:hAnsi="Arial" w:cs="Arial"/>
          <w:b/>
          <w:bCs/>
          <w:color w:val="auto"/>
          <w:sz w:val="32"/>
          <w:szCs w:val="32"/>
        </w:rPr>
      </w:pPr>
    </w:p>
    <w:p w14:paraId="1E562C8B">
      <w:pPr>
        <w:jc w:val="center"/>
        <w:rPr>
          <w:rFonts w:ascii="Arial" w:hAnsi="Arial" w:cs="Arial"/>
          <w:b/>
          <w:bCs/>
          <w:color w:val="auto"/>
          <w:sz w:val="32"/>
          <w:szCs w:val="32"/>
        </w:rPr>
      </w:pPr>
    </w:p>
    <w:p w14:paraId="26982366">
      <w:pPr>
        <w:jc w:val="center"/>
        <w:rPr>
          <w:rFonts w:ascii="Arial" w:hAnsi="Arial" w:cs="Arial"/>
          <w:b/>
          <w:bCs/>
          <w:color w:val="auto"/>
          <w:sz w:val="32"/>
          <w:szCs w:val="32"/>
        </w:rPr>
      </w:pPr>
    </w:p>
    <w:p w14:paraId="491DAC49">
      <w:pPr>
        <w:jc w:val="center"/>
        <w:rPr>
          <w:rFonts w:ascii="Arial" w:hAnsi="Arial" w:cs="Arial"/>
          <w:b/>
          <w:bCs/>
          <w:color w:val="auto"/>
          <w:sz w:val="32"/>
          <w:szCs w:val="32"/>
        </w:rPr>
      </w:pPr>
    </w:p>
    <w:p w14:paraId="4CF5CD18">
      <w:pPr>
        <w:jc w:val="center"/>
        <w:rPr>
          <w:rFonts w:ascii="Arial" w:hAnsi="Arial" w:cs="Arial"/>
          <w:b/>
          <w:bCs/>
          <w:color w:val="auto"/>
          <w:sz w:val="32"/>
          <w:szCs w:val="32"/>
        </w:rPr>
      </w:pPr>
    </w:p>
    <w:p w14:paraId="39577CA3">
      <w:pPr>
        <w:jc w:val="center"/>
        <w:rPr>
          <w:rFonts w:ascii="Arial" w:hAnsi="Arial" w:cs="Arial"/>
          <w:b/>
          <w:bCs/>
          <w:color w:val="auto"/>
          <w:sz w:val="32"/>
          <w:szCs w:val="32"/>
        </w:rPr>
      </w:pPr>
    </w:p>
    <w:p w14:paraId="3A113E80">
      <w:pPr>
        <w:jc w:val="center"/>
        <w:rPr>
          <w:rFonts w:ascii="Arial" w:hAnsi="Arial" w:cs="Arial"/>
          <w:b/>
          <w:bCs/>
          <w:color w:val="auto"/>
          <w:sz w:val="32"/>
          <w:szCs w:val="32"/>
        </w:rPr>
      </w:pPr>
    </w:p>
    <w:p w14:paraId="17BAB892">
      <w:pPr>
        <w:jc w:val="center"/>
        <w:rPr>
          <w:rFonts w:ascii="Arial" w:hAnsi="Arial" w:cs="Arial"/>
          <w:b/>
          <w:bCs/>
          <w:color w:val="auto"/>
          <w:sz w:val="32"/>
          <w:szCs w:val="32"/>
        </w:rPr>
      </w:pPr>
    </w:p>
    <w:p w14:paraId="78B61343">
      <w:pPr>
        <w:jc w:val="center"/>
        <w:rPr>
          <w:rFonts w:ascii="Arial" w:hAnsi="Arial" w:cs="Arial"/>
          <w:b/>
          <w:bCs/>
          <w:color w:val="auto"/>
          <w:sz w:val="32"/>
          <w:szCs w:val="32"/>
        </w:rPr>
      </w:pPr>
    </w:p>
    <w:p w14:paraId="3DF0157E">
      <w:pPr>
        <w:jc w:val="center"/>
        <w:rPr>
          <w:rFonts w:ascii="Arial" w:hAnsi="Arial" w:cs="Arial"/>
          <w:b/>
          <w:bCs/>
          <w:color w:val="auto"/>
          <w:sz w:val="32"/>
          <w:szCs w:val="32"/>
        </w:rPr>
      </w:pPr>
    </w:p>
    <w:p w14:paraId="094DCA06">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ANEXO I</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150/2025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068/2025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068/2025</w:t>
      </w:r>
    </w:p>
    <w:p w14:paraId="5C3425F6">
      <w:pPr>
        <w:jc w:val="center"/>
        <w:rPr>
          <w:rFonts w:ascii="Arial" w:hAnsi="Arial" w:cs="Arial"/>
          <w:b/>
          <w:bCs/>
          <w:color w:val="000000"/>
          <w:sz w:val="20"/>
          <w:szCs w:val="20"/>
        </w:rPr>
      </w:pPr>
    </w:p>
    <w:p w14:paraId="0776F281">
      <w:pPr>
        <w:pStyle w:val="223"/>
        <w:numPr>
          <w:ilvl w:val="0"/>
          <w:numId w:val="18"/>
        </w:numPr>
        <w:ind w:left="426" w:hanging="426"/>
        <w:rPr>
          <w:rFonts w:ascii="Arial" w:hAnsi="Arial" w:cs="Arial"/>
          <w:b/>
          <w:bCs/>
          <w:color w:val="000000"/>
        </w:rPr>
      </w:pPr>
      <w:r>
        <w:rPr>
          <w:rFonts w:ascii="Arial" w:hAnsi="Arial" w:cs="Arial"/>
          <w:b/>
          <w:bCs/>
          <w:color w:val="000000"/>
        </w:rPr>
        <w:t>ELABORADO PE</w:t>
      </w:r>
      <w:r>
        <w:rPr>
          <w:rFonts w:hint="default" w:ascii="Arial" w:hAnsi="Arial" w:cs="Arial"/>
          <w:b/>
          <w:bCs/>
          <w:color w:val="000000"/>
          <w:lang w:val="pt-BR"/>
        </w:rPr>
        <w:t>LA SECRETARIA DE FAZENDA DA PMC</w:t>
      </w:r>
    </w:p>
    <w:p w14:paraId="53F388D6">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A7F625A">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DBA9DCA">
      <w:pPr>
        <w:keepNext w:val="0"/>
        <w:keepLines w:val="0"/>
        <w:pageBreakBefore w:val="0"/>
        <w:widowControl/>
        <w:kinsoku/>
        <w:wordWrap/>
        <w:overflowPunct/>
        <w:topLinePunct w:val="0"/>
        <w:autoSpaceDE/>
        <w:autoSpaceDN/>
        <w:bidi w:val="0"/>
        <w:adjustRightInd/>
        <w:snapToGrid/>
        <w:spacing w:line="360" w:lineRule="auto"/>
        <w:ind w:left="0" w:leftChars="0" w:right="0"/>
        <w:jc w:val="center"/>
        <w:textAlignment w:val="auto"/>
        <w:rPr>
          <w:rFonts w:hint="default" w:ascii="Arial" w:hAnsi="Arial" w:eastAsia="Times New Roman" w:cs="Arial"/>
          <w:b/>
          <w:bCs/>
          <w:color w:val="000000"/>
          <w:sz w:val="18"/>
          <w:szCs w:val="18"/>
          <w:highlight w:val="none"/>
          <w:lang w:eastAsia="pt-BR"/>
        </w:rPr>
      </w:pPr>
      <w:r>
        <w:rPr>
          <w:rFonts w:hint="default" w:ascii="Arial" w:hAnsi="Arial" w:eastAsia="Times New Roman" w:cs="Arial"/>
          <w:b/>
          <w:bCs/>
          <w:color w:val="000000"/>
          <w:sz w:val="18"/>
          <w:szCs w:val="18"/>
          <w:highlight w:val="none"/>
          <w:lang w:eastAsia="pt-BR"/>
        </w:rPr>
        <w:t>TERMO DE REFERÊNCIA</w:t>
      </w:r>
    </w:p>
    <w:p w14:paraId="237C27D4">
      <w:pPr>
        <w:keepNext w:val="0"/>
        <w:keepLines w:val="0"/>
        <w:pageBreakBefore w:val="0"/>
        <w:widowControl/>
        <w:kinsoku/>
        <w:wordWrap/>
        <w:overflowPunct/>
        <w:topLinePunct w:val="0"/>
        <w:autoSpaceDE/>
        <w:autoSpaceDN/>
        <w:bidi w:val="0"/>
        <w:adjustRightInd/>
        <w:snapToGrid/>
        <w:spacing w:line="360" w:lineRule="auto"/>
        <w:ind w:left="0" w:leftChars="0" w:right="0"/>
        <w:jc w:val="center"/>
        <w:textAlignment w:val="auto"/>
        <w:rPr>
          <w:rFonts w:hint="default" w:ascii="Arial" w:hAnsi="Arial" w:eastAsia="Times New Roman" w:cs="Arial"/>
          <w:b/>
          <w:bCs/>
          <w:color w:val="000000"/>
          <w:sz w:val="18"/>
          <w:szCs w:val="18"/>
          <w:highlight w:val="none"/>
          <w:lang w:eastAsia="pt-BR"/>
        </w:rPr>
      </w:pPr>
    </w:p>
    <w:p w14:paraId="2646A52B">
      <w:pPr>
        <w:pStyle w:val="223"/>
        <w:pageBreakBefore w:val="0"/>
        <w:numPr>
          <w:ilvl w:val="0"/>
          <w:numId w:val="0"/>
        </w:numPr>
        <w:kinsoku/>
        <w:wordWrap/>
        <w:overflowPunct/>
        <w:topLinePunct w:val="0"/>
        <w:bidi w:val="0"/>
        <w:snapToGrid/>
        <w:spacing w:beforeAutospacing="0" w:after="0" w:afterAutospacing="0" w:line="360" w:lineRule="auto"/>
        <w:ind w:leftChars="0" w:right="0" w:rightChars="0"/>
        <w:jc w:val="both"/>
        <w:textAlignment w:val="auto"/>
        <w:rPr>
          <w:rFonts w:hint="default" w:ascii="Arial" w:hAnsi="Arial" w:cs="Arial"/>
          <w:sz w:val="18"/>
          <w:szCs w:val="18"/>
        </w:rPr>
      </w:pPr>
      <w:r>
        <w:rPr>
          <w:rFonts w:hint="default" w:ascii="Arial" w:hAnsi="Arial" w:cs="Arial"/>
          <w:b/>
          <w:sz w:val="18"/>
          <w:szCs w:val="18"/>
          <w:lang w:val="pt-BR"/>
        </w:rPr>
        <w:t xml:space="preserve">1. </w:t>
      </w:r>
      <w:r>
        <w:rPr>
          <w:rFonts w:hint="default" w:ascii="Arial" w:hAnsi="Arial" w:cs="Arial"/>
          <w:b/>
          <w:sz w:val="18"/>
          <w:szCs w:val="18"/>
        </w:rPr>
        <w:t>CONDIÇÕES GERAIS DA CONTRATAÇÃO</w:t>
      </w:r>
    </w:p>
    <w:p w14:paraId="2674D706">
      <w:pPr>
        <w:pageBreakBefore w:val="0"/>
        <w:numPr>
          <w:ilvl w:val="0"/>
          <w:numId w:val="0"/>
        </w:numPr>
        <w:tabs>
          <w:tab w:val="left" w:pos="-284"/>
        </w:tabs>
        <w:suppressAutoHyphens w:val="0"/>
        <w:kinsoku/>
        <w:wordWrap/>
        <w:overflowPunct/>
        <w:topLinePunct w:val="0"/>
        <w:bidi w:val="0"/>
        <w:snapToGrid/>
        <w:spacing w:beforeAutospacing="0" w:after="0" w:afterAutospacing="0" w:line="360" w:lineRule="auto"/>
        <w:ind w:leftChars="0" w:right="0" w:rightChars="0"/>
        <w:contextualSpacing/>
        <w:jc w:val="both"/>
        <w:textAlignment w:val="auto"/>
        <w:rPr>
          <w:rStyle w:val="339"/>
          <w:rFonts w:hint="default" w:ascii="Arial" w:hAnsi="Arial" w:eastAsia="Times New Roman" w:cs="Arial"/>
          <w:color w:val="000000"/>
          <w:sz w:val="18"/>
          <w:szCs w:val="18"/>
        </w:rPr>
      </w:pPr>
      <w:r>
        <w:rPr>
          <w:rFonts w:hint="default" w:ascii="Arial" w:hAnsi="Arial" w:eastAsia="Times New Roman" w:cs="Arial"/>
          <w:b/>
          <w:bCs/>
          <w:color w:val="000000"/>
          <w:sz w:val="18"/>
          <w:szCs w:val="18"/>
          <w:lang w:val="pt-BR"/>
        </w:rPr>
        <w:t xml:space="preserve">1.1. </w:t>
      </w: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pelo Sistema de Registro de Preços, do tipo Menor Preço por Lote</w:t>
      </w:r>
      <w:r>
        <w:rPr>
          <w:rFonts w:hint="default" w:ascii="Arial" w:hAnsi="Arial" w:eastAsia="Times New Roman" w:cs="Arial"/>
          <w:color w:val="000000"/>
          <w:sz w:val="18"/>
          <w:szCs w:val="18"/>
        </w:rPr>
        <w:t xml:space="preserve">, </w:t>
      </w:r>
      <w:r>
        <w:rPr>
          <w:rFonts w:hint="default" w:ascii="Arial" w:hAnsi="Arial" w:cs="Arial"/>
          <w:sz w:val="18"/>
          <w:szCs w:val="18"/>
        </w:rPr>
        <w:t xml:space="preserve">a </w:t>
      </w:r>
      <w:r>
        <w:rPr>
          <w:rStyle w:val="339"/>
          <w:rFonts w:hint="default" w:ascii="Arial" w:hAnsi="Arial" w:cs="Arial"/>
          <w:sz w:val="18"/>
          <w:szCs w:val="18"/>
        </w:rPr>
        <w:t>aquisição de água mineral com e sem retorno de vasilhame, bem como em fardos com garrafas de no mínimo 500ml e máximo 510ml, com 12 unidades cada fardo, ambas sem gás, incluindo transporte e entrega</w:t>
      </w:r>
      <w:r>
        <w:rPr>
          <w:rFonts w:hint="default" w:ascii="Arial" w:hAnsi="Arial" w:eastAsia="Times New Roman" w:cs="Arial"/>
          <w:color w:val="000000"/>
          <w:sz w:val="18"/>
          <w:szCs w:val="18"/>
        </w:rPr>
        <w:t>, para atender as demandas da Prefeitura do Município de Cataguases/MG,</w:t>
      </w:r>
      <w:r>
        <w:rPr>
          <w:rStyle w:val="339"/>
          <w:rFonts w:hint="default" w:ascii="Arial" w:hAnsi="Arial" w:cs="Arial"/>
          <w:sz w:val="18"/>
          <w:szCs w:val="18"/>
        </w:rPr>
        <w:t xml:space="preserve"> </w:t>
      </w:r>
      <w:r>
        <w:rPr>
          <w:rFonts w:hint="default" w:ascii="Arial" w:hAnsi="Arial" w:cs="Arial"/>
          <w:sz w:val="18"/>
          <w:szCs w:val="18"/>
        </w:rPr>
        <w:t xml:space="preserve">nos termos abaixo, conforme condições e exigências estabelecidas neste instrumento e </w:t>
      </w:r>
      <w:r>
        <w:rPr>
          <w:rStyle w:val="339"/>
          <w:rFonts w:hint="default" w:ascii="Arial" w:hAnsi="Arial" w:cs="Arial"/>
          <w:sz w:val="18"/>
          <w:szCs w:val="18"/>
        </w:rPr>
        <w:t xml:space="preserve">com base nos parâmetros da Lei Federal nº 14.133/21: </w:t>
      </w:r>
    </w:p>
    <w:tbl>
      <w:tblPr>
        <w:tblStyle w:val="6"/>
        <w:tblW w:w="10218" w:type="dxa"/>
        <w:jc w:val="center"/>
        <w:tblLayout w:type="fixed"/>
        <w:tblCellMar>
          <w:top w:w="0" w:type="dxa"/>
          <w:left w:w="108" w:type="dxa"/>
          <w:bottom w:w="0" w:type="dxa"/>
          <w:right w:w="108" w:type="dxa"/>
        </w:tblCellMar>
      </w:tblPr>
      <w:tblGrid>
        <w:gridCol w:w="696"/>
        <w:gridCol w:w="3400"/>
        <w:gridCol w:w="1150"/>
        <w:gridCol w:w="1070"/>
        <w:gridCol w:w="1110"/>
        <w:gridCol w:w="1110"/>
        <w:gridCol w:w="1682"/>
      </w:tblGrid>
      <w:tr w14:paraId="5143928D">
        <w:tblPrEx>
          <w:tblCellMar>
            <w:top w:w="0" w:type="dxa"/>
            <w:left w:w="108" w:type="dxa"/>
            <w:bottom w:w="0" w:type="dxa"/>
            <w:right w:w="108" w:type="dxa"/>
          </w:tblCellMar>
        </w:tblPrEx>
        <w:trPr>
          <w:trHeight w:val="376" w:hRule="atLeast"/>
          <w:jc w:val="center"/>
        </w:trPr>
        <w:tc>
          <w:tcPr>
            <w:tcW w:w="10218" w:type="dxa"/>
            <w:gridSpan w:val="7"/>
            <w:tcBorders>
              <w:top w:val="single" w:color="000000" w:sz="4" w:space="0"/>
              <w:left w:val="single" w:color="000000" w:sz="4" w:space="0"/>
              <w:bottom w:val="single" w:color="000000" w:sz="4" w:space="0"/>
              <w:right w:val="single" w:color="000000" w:sz="4" w:space="0"/>
            </w:tcBorders>
            <w:shd w:val="clear" w:color="000000" w:fill="EEECE1"/>
            <w:vAlign w:val="center"/>
          </w:tcPr>
          <w:p w14:paraId="347C3FAA">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LOTE 1</w:t>
            </w:r>
          </w:p>
        </w:tc>
      </w:tr>
      <w:tr w14:paraId="4A4D1AA0">
        <w:tblPrEx>
          <w:tblCellMar>
            <w:top w:w="0" w:type="dxa"/>
            <w:left w:w="108" w:type="dxa"/>
            <w:bottom w:w="0" w:type="dxa"/>
            <w:right w:w="108" w:type="dxa"/>
          </w:tblCellMar>
        </w:tblPrEx>
        <w:trPr>
          <w:trHeight w:val="373" w:hRule="atLeast"/>
          <w:jc w:val="center"/>
        </w:trPr>
        <w:tc>
          <w:tcPr>
            <w:tcW w:w="696"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1C405836">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sz w:val="17"/>
                <w:szCs w:val="17"/>
              </w:rPr>
              <w:br w:type="page"/>
            </w:r>
            <w:r>
              <w:rPr>
                <w:rFonts w:hint="default" w:ascii="Arial" w:hAnsi="Arial" w:cs="Arial"/>
                <w:b/>
                <w:bCs/>
                <w:sz w:val="17"/>
                <w:szCs w:val="17"/>
              </w:rPr>
              <w:t>ITEM</w:t>
            </w:r>
          </w:p>
        </w:tc>
        <w:tc>
          <w:tcPr>
            <w:tcW w:w="340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58857561">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bCs/>
                <w:sz w:val="17"/>
                <w:szCs w:val="17"/>
              </w:rPr>
              <w:t>DESCRIÇÃO</w:t>
            </w:r>
          </w:p>
        </w:tc>
        <w:tc>
          <w:tcPr>
            <w:tcW w:w="115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224AF24C">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CATMAT</w:t>
            </w:r>
          </w:p>
        </w:tc>
        <w:tc>
          <w:tcPr>
            <w:tcW w:w="107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0A7FB323">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bCs/>
                <w:sz w:val="17"/>
                <w:szCs w:val="17"/>
              </w:rPr>
              <w:t>UND.</w:t>
            </w:r>
          </w:p>
        </w:tc>
        <w:tc>
          <w:tcPr>
            <w:tcW w:w="111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713A1EF8">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bCs/>
                <w:sz w:val="17"/>
                <w:szCs w:val="17"/>
              </w:rPr>
              <w:t>QTD.</w:t>
            </w:r>
          </w:p>
        </w:tc>
        <w:tc>
          <w:tcPr>
            <w:tcW w:w="111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8FB51D0">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VALOR UNIT.</w:t>
            </w:r>
          </w:p>
        </w:tc>
        <w:tc>
          <w:tcPr>
            <w:tcW w:w="1682"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5132136A">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VALOR TOTAL</w:t>
            </w:r>
          </w:p>
        </w:tc>
      </w:tr>
      <w:tr w14:paraId="47364EF8">
        <w:tblPrEx>
          <w:tblCellMar>
            <w:top w:w="0" w:type="dxa"/>
            <w:left w:w="108" w:type="dxa"/>
            <w:bottom w:w="0" w:type="dxa"/>
            <w:right w:w="108" w:type="dxa"/>
          </w:tblCellMar>
        </w:tblPrEx>
        <w:trPr>
          <w:trHeight w:val="352" w:hRule="atLeast"/>
          <w:jc w:val="center"/>
        </w:trPr>
        <w:tc>
          <w:tcPr>
            <w:tcW w:w="69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F79AA31">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01</w:t>
            </w:r>
          </w:p>
        </w:tc>
        <w:tc>
          <w:tcPr>
            <w:tcW w:w="340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4902F58">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both"/>
              <w:textAlignment w:val="auto"/>
              <w:rPr>
                <w:rFonts w:hint="default" w:ascii="Arial" w:hAnsi="Arial" w:cs="Arial"/>
                <w:sz w:val="17"/>
                <w:szCs w:val="17"/>
              </w:rPr>
            </w:pPr>
            <w:r>
              <w:rPr>
                <w:rFonts w:hint="default" w:ascii="Arial" w:hAnsi="Arial" w:cs="Arial"/>
                <w:b/>
                <w:bCs/>
                <w:sz w:val="17"/>
                <w:szCs w:val="17"/>
                <w:u w:val="single"/>
              </w:rPr>
              <w:t>ÁGUA MINERAL (SEM RETORNO DO VASILHAME/REFIL):</w:t>
            </w:r>
            <w:r>
              <w:rPr>
                <w:rFonts w:hint="default"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11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E9C65B9">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445484</w:t>
            </w:r>
          </w:p>
        </w:tc>
        <w:tc>
          <w:tcPr>
            <w:tcW w:w="107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5BCD63F">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Unid.</w:t>
            </w:r>
          </w:p>
        </w:tc>
        <w:tc>
          <w:tcPr>
            <w:tcW w:w="11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059786E">
            <w:pPr>
              <w:pageBreakBefore w:val="0"/>
              <w:kinsoku/>
              <w:wordWrap/>
              <w:overflowPunct/>
              <w:topLinePunct w:val="0"/>
              <w:bidi w:val="0"/>
              <w:snapToGrid/>
              <w:spacing w:beforeAutospacing="0" w:afterAutospacing="0"/>
              <w:ind w:left="0" w:leftChars="0" w:right="0" w:firstLine="0" w:firstLineChars="0"/>
              <w:jc w:val="center"/>
              <w:textAlignment w:val="auto"/>
              <w:rPr>
                <w:rFonts w:hint="default" w:ascii="Arial" w:hAnsi="Arial" w:cs="Arial"/>
                <w:color w:val="000000"/>
                <w:sz w:val="17"/>
                <w:szCs w:val="17"/>
              </w:rPr>
            </w:pPr>
            <w:r>
              <w:rPr>
                <w:rFonts w:hint="default" w:ascii="Arial" w:hAnsi="Arial" w:cs="Arial"/>
                <w:color w:val="000000"/>
                <w:sz w:val="17"/>
                <w:szCs w:val="17"/>
              </w:rPr>
              <w:t>109</w:t>
            </w:r>
          </w:p>
          <w:p w14:paraId="36995DC7">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p>
        </w:tc>
        <w:tc>
          <w:tcPr>
            <w:tcW w:w="11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2EF751C">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R$ 41,42</w:t>
            </w:r>
          </w:p>
        </w:tc>
        <w:tc>
          <w:tcPr>
            <w:tcW w:w="168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E2B0DF3">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R$ 4.514,78</w:t>
            </w:r>
          </w:p>
        </w:tc>
      </w:tr>
      <w:tr w14:paraId="18CDEA1F">
        <w:tblPrEx>
          <w:tblCellMar>
            <w:top w:w="0" w:type="dxa"/>
            <w:left w:w="108" w:type="dxa"/>
            <w:bottom w:w="0" w:type="dxa"/>
            <w:right w:w="108" w:type="dxa"/>
          </w:tblCellMar>
        </w:tblPrEx>
        <w:trPr>
          <w:trHeight w:val="352" w:hRule="atLeast"/>
          <w:jc w:val="center"/>
        </w:trPr>
        <w:tc>
          <w:tcPr>
            <w:tcW w:w="69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61BFDB8">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02</w:t>
            </w:r>
          </w:p>
        </w:tc>
        <w:tc>
          <w:tcPr>
            <w:tcW w:w="340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6754FC4">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both"/>
              <w:textAlignment w:val="auto"/>
              <w:rPr>
                <w:rFonts w:hint="default" w:ascii="Arial" w:hAnsi="Arial" w:cs="Arial"/>
                <w:sz w:val="17"/>
                <w:szCs w:val="17"/>
              </w:rPr>
            </w:pPr>
            <w:r>
              <w:rPr>
                <w:rFonts w:hint="default" w:ascii="Arial" w:hAnsi="Arial" w:cs="Arial"/>
                <w:b/>
                <w:bCs/>
                <w:sz w:val="17"/>
                <w:szCs w:val="17"/>
                <w:u w:val="single"/>
              </w:rPr>
              <w:t>ÁGUA MINERAL (COM RETORNO DO VASILHAME/REFIL):</w:t>
            </w:r>
            <w:r>
              <w:rPr>
                <w:rFonts w:hint="default"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11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1EC6533">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445485</w:t>
            </w:r>
          </w:p>
        </w:tc>
        <w:tc>
          <w:tcPr>
            <w:tcW w:w="107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003EB2B">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Unid.</w:t>
            </w:r>
          </w:p>
        </w:tc>
        <w:tc>
          <w:tcPr>
            <w:tcW w:w="11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E86395B">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2690</w:t>
            </w:r>
          </w:p>
        </w:tc>
        <w:tc>
          <w:tcPr>
            <w:tcW w:w="11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A26BB03">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eastAsia="SimSun" w:cs="Arial"/>
                <w:color w:val="000000"/>
                <w:sz w:val="17"/>
                <w:szCs w:val="17"/>
              </w:rPr>
              <w:t>R$ 23,74</w:t>
            </w:r>
          </w:p>
        </w:tc>
        <w:tc>
          <w:tcPr>
            <w:tcW w:w="168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699A7EB">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color w:val="000000"/>
                <w:sz w:val="17"/>
                <w:szCs w:val="17"/>
              </w:rPr>
              <w:t>R$ 63.860,60</w:t>
            </w:r>
          </w:p>
        </w:tc>
      </w:tr>
      <w:tr w14:paraId="792256FA">
        <w:tblPrEx>
          <w:tblCellMar>
            <w:top w:w="0" w:type="dxa"/>
            <w:left w:w="108" w:type="dxa"/>
            <w:bottom w:w="0" w:type="dxa"/>
            <w:right w:w="108" w:type="dxa"/>
          </w:tblCellMar>
        </w:tblPrEx>
        <w:trPr>
          <w:trHeight w:val="352" w:hRule="atLeast"/>
          <w:jc w:val="center"/>
        </w:trPr>
        <w:tc>
          <w:tcPr>
            <w:tcW w:w="7426" w:type="dxa"/>
            <w:gridSpan w:val="5"/>
            <w:tcBorders>
              <w:top w:val="single" w:color="000000" w:sz="4" w:space="0"/>
              <w:left w:val="single" w:color="000000" w:sz="4" w:space="0"/>
              <w:bottom w:val="single" w:color="000000" w:sz="4" w:space="0"/>
              <w:right w:val="single" w:color="000000" w:sz="4" w:space="0"/>
            </w:tcBorders>
            <w:shd w:val="clear" w:color="000000" w:fill="auto"/>
            <w:vAlign w:val="center"/>
          </w:tcPr>
          <w:p w14:paraId="2A21C682">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right"/>
              <w:textAlignment w:val="auto"/>
              <w:rPr>
                <w:rFonts w:hint="default" w:ascii="Arial" w:hAnsi="Arial" w:cs="Arial"/>
                <w:b/>
                <w:bCs/>
                <w:sz w:val="17"/>
                <w:szCs w:val="17"/>
              </w:rPr>
            </w:pPr>
            <w:r>
              <w:rPr>
                <w:rFonts w:hint="default" w:ascii="Arial" w:hAnsi="Arial" w:cs="Arial"/>
                <w:b/>
                <w:bCs/>
                <w:sz w:val="17"/>
                <w:szCs w:val="17"/>
              </w:rPr>
              <w:t>VALOR GLOBAL DO LOTE:</w:t>
            </w:r>
          </w:p>
        </w:tc>
        <w:tc>
          <w:tcPr>
            <w:tcW w:w="2792" w:type="dxa"/>
            <w:gridSpan w:val="2"/>
            <w:tcBorders>
              <w:top w:val="single" w:color="000000" w:sz="4" w:space="0"/>
              <w:left w:val="single" w:color="000000" w:sz="4" w:space="0"/>
              <w:bottom w:val="single" w:color="000000" w:sz="4" w:space="0"/>
              <w:right w:val="single" w:color="000000" w:sz="4" w:space="0"/>
            </w:tcBorders>
            <w:shd w:val="clear" w:color="000000" w:fill="auto"/>
            <w:vAlign w:val="center"/>
          </w:tcPr>
          <w:p w14:paraId="2785F2B2">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both"/>
              <w:textAlignment w:val="auto"/>
              <w:rPr>
                <w:rFonts w:hint="default" w:ascii="Arial" w:hAnsi="Arial" w:cs="Arial"/>
                <w:b/>
                <w:bCs/>
                <w:sz w:val="17"/>
                <w:szCs w:val="17"/>
              </w:rPr>
            </w:pPr>
            <w:r>
              <w:rPr>
                <w:rFonts w:hint="default" w:ascii="Arial" w:hAnsi="Arial" w:cs="Arial"/>
                <w:color w:val="000000"/>
                <w:sz w:val="17"/>
                <w:szCs w:val="17"/>
              </w:rPr>
              <w:t>R$ 68.375,38</w:t>
            </w:r>
          </w:p>
        </w:tc>
      </w:tr>
    </w:tbl>
    <w:p w14:paraId="297A947F">
      <w:pPr>
        <w:pageBreakBefore w:val="0"/>
        <w:tabs>
          <w:tab w:val="left" w:pos="-284"/>
        </w:tabs>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Style w:val="339"/>
          <w:rFonts w:hint="default" w:ascii="Arial" w:hAnsi="Arial" w:eastAsia="Times New Roman" w:cs="Arial"/>
          <w:color w:val="000000"/>
          <w:sz w:val="18"/>
          <w:szCs w:val="18"/>
        </w:rPr>
      </w:pPr>
    </w:p>
    <w:tbl>
      <w:tblPr>
        <w:tblStyle w:val="6"/>
        <w:tblW w:w="10419" w:type="dxa"/>
        <w:jc w:val="center"/>
        <w:tblLayout w:type="fixed"/>
        <w:tblCellMar>
          <w:top w:w="0" w:type="dxa"/>
          <w:left w:w="108" w:type="dxa"/>
          <w:bottom w:w="0" w:type="dxa"/>
          <w:right w:w="108" w:type="dxa"/>
        </w:tblCellMar>
      </w:tblPr>
      <w:tblGrid>
        <w:gridCol w:w="732"/>
        <w:gridCol w:w="3375"/>
        <w:gridCol w:w="1180"/>
        <w:gridCol w:w="1250"/>
        <w:gridCol w:w="1274"/>
        <w:gridCol w:w="1134"/>
        <w:gridCol w:w="1474"/>
      </w:tblGrid>
      <w:tr w14:paraId="1193C629">
        <w:trPr>
          <w:trHeight w:val="373" w:hRule="atLeast"/>
          <w:jc w:val="center"/>
        </w:trPr>
        <w:tc>
          <w:tcPr>
            <w:tcW w:w="10419" w:type="dxa"/>
            <w:gridSpan w:val="7"/>
            <w:tcBorders>
              <w:top w:val="single" w:color="000000" w:sz="4" w:space="0"/>
              <w:left w:val="single" w:color="000000" w:sz="4" w:space="0"/>
              <w:bottom w:val="single" w:color="000000" w:sz="4" w:space="0"/>
              <w:right w:val="single" w:color="000000" w:sz="4" w:space="0"/>
            </w:tcBorders>
            <w:shd w:val="clear" w:color="000000" w:fill="EEECE1"/>
            <w:vAlign w:val="center"/>
          </w:tcPr>
          <w:p w14:paraId="674CE268">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LOTE 2</w:t>
            </w:r>
          </w:p>
        </w:tc>
      </w:tr>
      <w:tr w14:paraId="100D17DA">
        <w:tblPrEx>
          <w:tblCellMar>
            <w:top w:w="0" w:type="dxa"/>
            <w:left w:w="108" w:type="dxa"/>
            <w:bottom w:w="0" w:type="dxa"/>
            <w:right w:w="108" w:type="dxa"/>
          </w:tblCellMar>
        </w:tblPrEx>
        <w:trPr>
          <w:trHeight w:val="373"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3F580904">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sz w:val="17"/>
                <w:szCs w:val="17"/>
              </w:rPr>
              <w:br w:type="page"/>
            </w:r>
            <w:r>
              <w:rPr>
                <w:rFonts w:hint="default" w:ascii="Arial" w:hAnsi="Arial" w:cs="Arial"/>
                <w:b/>
                <w:bCs/>
                <w:sz w:val="17"/>
                <w:szCs w:val="17"/>
              </w:rPr>
              <w:t>ITEM</w:t>
            </w:r>
          </w:p>
        </w:tc>
        <w:tc>
          <w:tcPr>
            <w:tcW w:w="3375"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4F2CF3F5">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bCs/>
                <w:sz w:val="17"/>
                <w:szCs w:val="17"/>
              </w:rPr>
              <w:t>DESCRIÇÃO</w:t>
            </w:r>
          </w:p>
        </w:tc>
        <w:tc>
          <w:tcPr>
            <w:tcW w:w="118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0859A1E9">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CATMAT</w:t>
            </w:r>
          </w:p>
        </w:tc>
        <w:tc>
          <w:tcPr>
            <w:tcW w:w="125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53576F66">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bCs/>
                <w:sz w:val="17"/>
                <w:szCs w:val="17"/>
              </w:rPr>
              <w:t>UND. MEDIDA</w:t>
            </w:r>
          </w:p>
        </w:tc>
        <w:tc>
          <w:tcPr>
            <w:tcW w:w="1274"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05EF6C31">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b/>
                <w:bCs/>
                <w:sz w:val="17"/>
                <w:szCs w:val="17"/>
              </w:rPr>
              <w:t>QTD.</w:t>
            </w:r>
          </w:p>
        </w:tc>
        <w:tc>
          <w:tcPr>
            <w:tcW w:w="1134"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2E354CC8">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VALOR UNIT.</w:t>
            </w:r>
          </w:p>
        </w:tc>
        <w:tc>
          <w:tcPr>
            <w:tcW w:w="1474"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4849A2E">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VALOR TOTAL</w:t>
            </w:r>
          </w:p>
        </w:tc>
      </w:tr>
      <w:tr w14:paraId="1E8EAE5F">
        <w:tblPrEx>
          <w:tblCellMar>
            <w:top w:w="0" w:type="dxa"/>
            <w:left w:w="108" w:type="dxa"/>
            <w:bottom w:w="0" w:type="dxa"/>
            <w:right w:w="108" w:type="dxa"/>
          </w:tblCellMar>
        </w:tblPrEx>
        <w:trPr>
          <w:trHeight w:val="352" w:hRule="atLeast"/>
          <w:jc w:val="center"/>
        </w:trPr>
        <w:tc>
          <w:tcPr>
            <w:tcW w:w="7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14710C2">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03</w:t>
            </w:r>
          </w:p>
        </w:tc>
        <w:tc>
          <w:tcPr>
            <w:tcW w:w="337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9894CB1">
            <w:pPr>
              <w:pStyle w:val="3"/>
              <w:pageBreakBefore w:val="0"/>
              <w:kinsoku/>
              <w:wordWrap/>
              <w:overflowPunct/>
              <w:topLinePunct w:val="0"/>
              <w:bidi w:val="0"/>
              <w:snapToGrid/>
              <w:spacing w:before="0" w:beforeAutospacing="0" w:afterAutospacing="0"/>
              <w:ind w:left="0" w:leftChars="0" w:right="0" w:firstLine="0" w:firstLineChars="0"/>
              <w:jc w:val="center"/>
              <w:textAlignment w:val="auto"/>
              <w:rPr>
                <w:rFonts w:hint="default" w:ascii="Arial" w:hAnsi="Arial" w:cs="Arial"/>
                <w:bCs w:val="0"/>
                <w:color w:val="auto"/>
                <w:sz w:val="17"/>
                <w:szCs w:val="17"/>
                <w:u w:val="single"/>
              </w:rPr>
            </w:pPr>
            <w:r>
              <w:rPr>
                <w:rFonts w:hint="default" w:ascii="Arial" w:hAnsi="Arial" w:cs="Arial"/>
                <w:bCs w:val="0"/>
                <w:color w:val="auto"/>
                <w:sz w:val="17"/>
                <w:szCs w:val="17"/>
                <w:u w:val="single"/>
              </w:rPr>
              <w:t>ÁGUA MINERAL – GARRAFAS DE NO MÍNIMO 500ML (FARDO COM 12 UNIDADES)</w:t>
            </w:r>
          </w:p>
          <w:p w14:paraId="57CED2A3">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u w:val="single"/>
              </w:rPr>
            </w:pPr>
            <w:r>
              <w:rPr>
                <w:rFonts w:hint="default" w:ascii="Arial" w:hAnsi="Arial" w:cs="Arial"/>
                <w:sz w:val="17"/>
                <w:szCs w:val="17"/>
              </w:rPr>
              <w:t>ÁGUA MINERAL NATURA SEM GÁS, EMBALADA EM GARRAFAS PLÁSTICAS DE MÍNIMO 500ML E MÁXIMO 510ML, EM FARDOS COM 12 UNIDADES. CADA EMBALAGEM DEVERÁ CONTER EXTERNAMENTE OS DADOS DE IDENTIFICAÇÃO, PROCEDÊNCIA: CONCESSIONÁRIA, LOCAL DA FONTE E FORMA DE CAPTAÇÃO DA ÁGUA, INFORMAÇÕES NUTRICIONAIS, CARACTERÍSTICAS FÍSICO–QUÍMICAS (PH E TEMPERATURA), FORMA DE CONSERVAÇÃO, NÚMERO DE LOTE, DATA DE VALIDADE E QUANTIDADE DO PRODUTO. A EMBALAGEM PRIMÁRIA DEVERÁ SER LACRADA E EM MATERIAL RESISTENTE, ADEQUADO PARA ARMAZENAMENTO E TRANSPORTE.</w:t>
            </w:r>
          </w:p>
        </w:tc>
        <w:tc>
          <w:tcPr>
            <w:tcW w:w="118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E1C5190">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445485</w:t>
            </w:r>
          </w:p>
        </w:tc>
        <w:tc>
          <w:tcPr>
            <w:tcW w:w="125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EBB9F38">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FARDO</w:t>
            </w:r>
          </w:p>
        </w:tc>
        <w:tc>
          <w:tcPr>
            <w:tcW w:w="127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649CD1">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120</w:t>
            </w:r>
          </w:p>
        </w:tc>
        <w:tc>
          <w:tcPr>
            <w:tcW w:w="113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6D34DAE">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R$ 37,06</w:t>
            </w:r>
          </w:p>
        </w:tc>
        <w:tc>
          <w:tcPr>
            <w:tcW w:w="1474"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21C2749">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R$ 4.447,20</w:t>
            </w:r>
          </w:p>
        </w:tc>
      </w:tr>
      <w:tr w14:paraId="3186C95A">
        <w:tblPrEx>
          <w:tblCellMar>
            <w:top w:w="0" w:type="dxa"/>
            <w:left w:w="108" w:type="dxa"/>
            <w:bottom w:w="0" w:type="dxa"/>
            <w:right w:w="108" w:type="dxa"/>
          </w:tblCellMar>
        </w:tblPrEx>
        <w:trPr>
          <w:trHeight w:val="352" w:hRule="atLeast"/>
          <w:jc w:val="center"/>
        </w:trPr>
        <w:tc>
          <w:tcPr>
            <w:tcW w:w="7811" w:type="dxa"/>
            <w:gridSpan w:val="5"/>
            <w:tcBorders>
              <w:top w:val="single" w:color="000000" w:sz="4" w:space="0"/>
              <w:left w:val="single" w:color="000000" w:sz="4" w:space="0"/>
              <w:bottom w:val="single" w:color="000000" w:sz="4" w:space="0"/>
              <w:right w:val="single" w:color="000000" w:sz="4" w:space="0"/>
            </w:tcBorders>
            <w:shd w:val="clear" w:color="000000" w:fill="auto"/>
            <w:vAlign w:val="center"/>
          </w:tcPr>
          <w:p w14:paraId="657DF59B">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right"/>
              <w:textAlignment w:val="auto"/>
              <w:rPr>
                <w:rFonts w:hint="default" w:ascii="Arial" w:hAnsi="Arial" w:cs="Arial"/>
                <w:b/>
                <w:bCs/>
                <w:sz w:val="17"/>
                <w:szCs w:val="17"/>
              </w:rPr>
            </w:pPr>
            <w:r>
              <w:rPr>
                <w:rFonts w:hint="default" w:ascii="Arial" w:hAnsi="Arial" w:cs="Arial"/>
                <w:b/>
                <w:bCs/>
                <w:sz w:val="17"/>
                <w:szCs w:val="17"/>
              </w:rPr>
              <w:t>VALOR GLOBAL DO LOTE:</w:t>
            </w:r>
          </w:p>
        </w:tc>
        <w:tc>
          <w:tcPr>
            <w:tcW w:w="2608" w:type="dxa"/>
            <w:gridSpan w:val="2"/>
            <w:tcBorders>
              <w:top w:val="single" w:color="000000" w:sz="4" w:space="0"/>
              <w:left w:val="single" w:color="000000" w:sz="4" w:space="0"/>
              <w:bottom w:val="single" w:color="000000" w:sz="4" w:space="0"/>
              <w:right w:val="single" w:color="000000" w:sz="4" w:space="0"/>
            </w:tcBorders>
            <w:shd w:val="clear" w:color="000000" w:fill="auto"/>
            <w:vAlign w:val="center"/>
          </w:tcPr>
          <w:p w14:paraId="631839B0">
            <w:pPr>
              <w:pageBreakBefore w:val="0"/>
              <w:kinsoku/>
              <w:wordWrap/>
              <w:overflowPunct/>
              <w:topLinePunct w:val="0"/>
              <w:autoSpaceDE w:val="0"/>
              <w:autoSpaceDN w:val="0"/>
              <w:bidi w:val="0"/>
              <w:adjustRightInd w:val="0"/>
              <w:snapToGrid/>
              <w:spacing w:beforeAutospacing="0" w:afterAutospacing="0" w:line="30" w:lineRule="atLeast"/>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R$ 4.447,20</w:t>
            </w:r>
          </w:p>
        </w:tc>
      </w:tr>
    </w:tbl>
    <w:p w14:paraId="7E653EAE">
      <w:pPr>
        <w:pageBreakBefore w:val="0"/>
        <w:tabs>
          <w:tab w:val="left" w:pos="-284"/>
        </w:tabs>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Style w:val="339"/>
          <w:rFonts w:hint="default" w:ascii="Arial" w:hAnsi="Arial" w:eastAsia="Times New Roman" w:cs="Arial"/>
          <w:color w:val="000000"/>
          <w:sz w:val="18"/>
          <w:szCs w:val="18"/>
        </w:rPr>
      </w:pPr>
    </w:p>
    <w:tbl>
      <w:tblPr>
        <w:tblStyle w:val="41"/>
        <w:tblW w:w="10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0"/>
      </w:tblGrid>
      <w:tr w14:paraId="0DE2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50" w:type="dxa"/>
          </w:tcPr>
          <w:p w14:paraId="7E2DFD94">
            <w:pPr>
              <w:pageBreakBefore w:val="0"/>
              <w:tabs>
                <w:tab w:val="left" w:pos="-284"/>
              </w:tabs>
              <w:suppressAutoHyphens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Style w:val="339"/>
                <w:rFonts w:hint="default" w:ascii="Arial" w:hAnsi="Arial" w:eastAsia="Times New Roman" w:cs="Arial"/>
                <w:b/>
                <w:color w:val="000000"/>
                <w:sz w:val="18"/>
                <w:szCs w:val="18"/>
              </w:rPr>
            </w:pPr>
            <w:r>
              <w:rPr>
                <w:rStyle w:val="339"/>
                <w:rFonts w:hint="default" w:ascii="Arial" w:hAnsi="Arial" w:eastAsia="Times New Roman" w:cs="Arial"/>
                <w:b/>
                <w:color w:val="000000"/>
                <w:sz w:val="18"/>
                <w:szCs w:val="18"/>
              </w:rPr>
              <w:t xml:space="preserve">VALOR GLOBAL DA CONTRATAÇÃO: </w:t>
            </w:r>
            <w:r>
              <w:rPr>
                <w:rFonts w:hint="default" w:ascii="Arial" w:hAnsi="Arial" w:eastAsia="SimSun" w:cs="Arial"/>
                <w:b/>
                <w:bCs/>
                <w:sz w:val="18"/>
                <w:szCs w:val="18"/>
              </w:rPr>
              <w:t>R$ 72.822,58</w:t>
            </w:r>
          </w:p>
        </w:tc>
      </w:tr>
    </w:tbl>
    <w:p w14:paraId="59BB8CFA">
      <w:pPr>
        <w:pageBreakBefore w:val="0"/>
        <w:tabs>
          <w:tab w:val="left" w:pos="-284"/>
        </w:tabs>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Style w:val="339"/>
          <w:rFonts w:hint="default" w:ascii="Arial" w:hAnsi="Arial" w:eastAsia="Times New Roman" w:cs="Arial"/>
          <w:color w:val="000000"/>
          <w:sz w:val="18"/>
          <w:szCs w:val="18"/>
        </w:rPr>
      </w:pPr>
    </w:p>
    <w:p w14:paraId="7CAC5C68">
      <w:pPr>
        <w:pageBreakBefore w:val="0"/>
        <w:tabs>
          <w:tab w:val="left" w:pos="435"/>
        </w:tabs>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b/>
          <w:sz w:val="18"/>
          <w:szCs w:val="18"/>
        </w:rPr>
        <w:t>.</w:t>
      </w:r>
      <w:r>
        <w:rPr>
          <w:rFonts w:hint="default" w:ascii="Arial" w:hAnsi="Arial" w:cs="Arial"/>
          <w:sz w:val="18"/>
          <w:szCs w:val="18"/>
        </w:rPr>
        <w:t xml:space="preserve"> Para os itens descritos acima,  caso não seja encontrado no catálogo do sistema compras.gov.br um código com descrição exatamente correspondente, será utilizado o código que mais se aproxime do item. Nesses casos, prevalecerá sempre a descrição constante no Termo de Referência, conforme especificado neste presente documento.</w:t>
      </w:r>
    </w:p>
    <w:p w14:paraId="78BACD9F">
      <w:pPr>
        <w:pageBreakBefore w:val="0"/>
        <w:tabs>
          <w:tab w:val="left" w:pos="570"/>
        </w:tabs>
        <w:kinsoku/>
        <w:wordWrap/>
        <w:overflowPunct/>
        <w:topLinePunct w:val="0"/>
        <w:bidi w:val="0"/>
        <w:snapToGrid/>
        <w:spacing w:beforeAutospacing="0" w:after="0" w:afterAutospacing="0" w:line="360" w:lineRule="auto"/>
        <w:ind w:left="0" w:leftChars="0" w:right="0" w:firstLine="0" w:firstLineChars="0"/>
        <w:jc w:val="both"/>
        <w:textAlignment w:val="auto"/>
        <w:rPr>
          <w:rStyle w:val="8"/>
          <w:rFonts w:hint="default" w:ascii="Arial" w:hAnsi="Arial" w:cs="Arial"/>
          <w:b w:val="0"/>
          <w:sz w:val="18"/>
          <w:szCs w:val="18"/>
          <w:shd w:val="clear" w:color="auto" w:fill="FFFFFF"/>
        </w:rPr>
      </w:pPr>
      <w:r>
        <w:rPr>
          <w:rStyle w:val="8"/>
          <w:rFonts w:hint="default" w:ascii="Arial" w:hAnsi="Arial" w:cs="Arial"/>
          <w:sz w:val="18"/>
          <w:szCs w:val="18"/>
          <w:shd w:val="clear" w:color="auto" w:fill="FFFFFF"/>
        </w:rPr>
        <w:t>1.</w:t>
      </w:r>
      <w:r>
        <w:rPr>
          <w:rStyle w:val="8"/>
          <w:rFonts w:hint="default" w:ascii="Arial" w:hAnsi="Arial" w:cs="Arial"/>
          <w:sz w:val="18"/>
          <w:szCs w:val="18"/>
          <w:shd w:val="clear" w:color="auto" w:fill="FFFFFF"/>
          <w:lang w:val="pt-BR"/>
        </w:rPr>
        <w:t>3</w:t>
      </w:r>
      <w:r>
        <w:rPr>
          <w:rStyle w:val="8"/>
          <w:rFonts w:hint="default" w:ascii="Arial" w:hAnsi="Arial" w:cs="Arial"/>
          <w:sz w:val="18"/>
          <w:szCs w:val="18"/>
          <w:shd w:val="clear" w:color="auto" w:fill="FFFFFF"/>
        </w:rPr>
        <w:t xml:space="preserve">. </w:t>
      </w:r>
      <w:r>
        <w:rPr>
          <w:rStyle w:val="8"/>
          <w:rFonts w:hint="default" w:ascii="Arial" w:hAnsi="Arial" w:cs="Arial"/>
          <w:b w:val="0"/>
          <w:sz w:val="18"/>
          <w:szCs w:val="18"/>
          <w:shd w:val="clear" w:color="auto" w:fill="FFFFFF"/>
        </w:rPr>
        <w:t>A aquisição se enquadra na classificação de bens</w:t>
      </w:r>
      <w:r>
        <w:rPr>
          <w:rStyle w:val="8"/>
          <w:rFonts w:hint="default" w:ascii="Arial" w:hAnsi="Arial" w:cs="Arial"/>
          <w:b w:val="0"/>
          <w:color w:val="FF0000"/>
          <w:sz w:val="18"/>
          <w:szCs w:val="18"/>
          <w:shd w:val="clear" w:color="auto" w:fill="FFFFFF"/>
        </w:rPr>
        <w:t xml:space="preserve"> </w:t>
      </w:r>
      <w:r>
        <w:rPr>
          <w:rStyle w:val="8"/>
          <w:rFonts w:hint="default" w:ascii="Arial" w:hAnsi="Arial" w:cs="Arial"/>
          <w:b w:val="0"/>
          <w:sz w:val="18"/>
          <w:szCs w:val="18"/>
          <w:shd w:val="clear" w:color="auto" w:fill="FFFFFF"/>
        </w:rPr>
        <w:t>comuns, tendo em vista que seus padrões de desempenho e qualidade podem ser objetivamente definidos pelo edital, por meio de especificações usuais de mercado, nos termos do art. 6º, inciso XIII, da Lei Federal nº 14.133/2021.</w:t>
      </w:r>
    </w:p>
    <w:p w14:paraId="3D7BC044">
      <w:pPr>
        <w:pageBreakBefore w:val="0"/>
        <w:tabs>
          <w:tab w:val="left" w:pos="570"/>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sz w:val="18"/>
          <w:szCs w:val="18"/>
        </w:rPr>
      </w:pPr>
      <w:r>
        <w:rPr>
          <w:rStyle w:val="8"/>
          <w:rFonts w:hint="default" w:ascii="Arial" w:hAnsi="Arial" w:cs="Arial"/>
          <w:sz w:val="18"/>
          <w:szCs w:val="18"/>
          <w:shd w:val="clear" w:color="auto" w:fill="FFFFFF"/>
        </w:rPr>
        <w:t>1.</w:t>
      </w:r>
      <w:r>
        <w:rPr>
          <w:rFonts w:hint="default" w:ascii="Arial" w:hAnsi="Arial" w:cs="Arial"/>
          <w:b/>
          <w:sz w:val="18"/>
          <w:szCs w:val="18"/>
          <w:lang w:val="pt-BR"/>
        </w:rPr>
        <w:t>4</w:t>
      </w:r>
      <w:r>
        <w:rPr>
          <w:rFonts w:hint="default" w:ascii="Arial" w:hAnsi="Arial" w:cs="Arial"/>
          <w:b/>
          <w:bCs/>
          <w:sz w:val="18"/>
          <w:szCs w:val="18"/>
        </w:rPr>
        <w:t xml:space="preserve">. </w:t>
      </w:r>
      <w:r>
        <w:rPr>
          <w:rFonts w:hint="default" w:ascii="Arial" w:hAnsi="Arial" w:cs="Arial"/>
          <w:sz w:val="18"/>
          <w:szCs w:val="18"/>
        </w:rPr>
        <w:t>O objeto desta contratação não se enquadra como sendo de bem de luxo, conforme Decreto Federal nº 10.818, de 27 de setembro de 2021.</w:t>
      </w:r>
    </w:p>
    <w:p w14:paraId="3DC01A8F">
      <w:pPr>
        <w:pageBreakBefore w:val="0"/>
        <w:tabs>
          <w:tab w:val="left" w:pos="570"/>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bCs/>
          <w:sz w:val="18"/>
          <w:szCs w:val="18"/>
        </w:rPr>
      </w:pPr>
    </w:p>
    <w:p w14:paraId="16A91343">
      <w:pPr>
        <w:pageBreakBefore w:val="0"/>
        <w:tabs>
          <w:tab w:val="left" w:pos="570"/>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bCs/>
          <w:sz w:val="18"/>
          <w:szCs w:val="18"/>
        </w:rPr>
        <w:t>2. FUNDAMENTAÇÃO E DESCRIÇÃO DA NECESSIDADE DA CONTRATAÇÃO</w:t>
      </w:r>
    </w:p>
    <w:p w14:paraId="2D67300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eastAsia="Times New Roman" w:cs="Arial"/>
          <w:b/>
          <w:sz w:val="18"/>
          <w:szCs w:val="18"/>
        </w:rPr>
        <w:t>2.1.</w:t>
      </w:r>
      <w:r>
        <w:rPr>
          <w:rFonts w:hint="default" w:ascii="Arial" w:hAnsi="Arial" w:eastAsia="Times New Roman" w:cs="Arial"/>
          <w:sz w:val="18"/>
          <w:szCs w:val="18"/>
        </w:rPr>
        <w:t xml:space="preserve"> </w:t>
      </w:r>
      <w:r>
        <w:rPr>
          <w:rFonts w:hint="default" w:ascii="Arial" w:hAnsi="Arial" w:cs="Arial"/>
          <w:sz w:val="18"/>
          <w:szCs w:val="18"/>
        </w:rPr>
        <w:t>A aquisição de água mineral natural, com e sem retorno do vasilhame/refil e em garrafas com entrega e transporte inclusos, é necessária para suprir o consumo diário dos servidores, colaboradores e usuários que frequentam os diversos setores da Administração Pública Municipal, garantindo condições mínimas de bem-estar, saúde e hidratação no ambiente de trabalho.</w:t>
      </w:r>
    </w:p>
    <w:p w14:paraId="572A8845">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2.2.</w:t>
      </w:r>
      <w:r>
        <w:rPr>
          <w:rFonts w:hint="default" w:ascii="Arial" w:hAnsi="Arial" w:cs="Arial"/>
          <w:sz w:val="18"/>
          <w:szCs w:val="18"/>
        </w:rPr>
        <w:t xml:space="preserve"> A água mineral fornecida será destinada aos órgãos públicos da Prefeitura Municipal de Cataguases/MG, como escolas, unidades de saúde, secretarias, centros administrativos, unidades de assistência social, entre outros, sendo fundamental para:</w:t>
      </w:r>
    </w:p>
    <w:p w14:paraId="344A9CFD">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Atender à legislação trabalhista, que contempla o fornecimento de água potável e de fácil acesso aos servidores públicos durante o expediente;</w:t>
      </w:r>
    </w:p>
    <w:p w14:paraId="0304DE43">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Evitar riscos à saúde dos servidores e usuários, considerando que o consumo de água potável é essencial para o bom funcionamento do organismo humano;</w:t>
      </w:r>
    </w:p>
    <w:p w14:paraId="72418839">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Assegurar o bom funcionamento das atividades diárias, principalmente em locais com grande circulação de pessoas e em ambientes onde a permanência é prolongada.</w:t>
      </w:r>
    </w:p>
    <w:p w14:paraId="58DB464B">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Complementar a infraestrutura pública, tendo em vista que, em muitos locais, a qualidade da água da rede pública pode não atender aos padrões de potabilidade exigidos para o consumo humano, ou não há estrutura adequada para filtragem e purificação local;</w:t>
      </w:r>
    </w:p>
    <w:p w14:paraId="7EAE7350">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Garantir eficiência logística, com fornecimento contínuo e entrega diretamente nos pontos de consumo, otimizando os recursos da administração municipal e evitando interrupções nos serviços prestados à população.</w:t>
      </w:r>
    </w:p>
    <w:p w14:paraId="5DDCECE8">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2.3.</w:t>
      </w:r>
      <w:r>
        <w:rPr>
          <w:rFonts w:hint="default" w:ascii="Arial" w:hAnsi="Arial" w:cs="Arial"/>
          <w:sz w:val="18"/>
          <w:szCs w:val="18"/>
        </w:rPr>
        <w:t xml:space="preserve"> Ademais, a inclusão do transporte e entrega no objeto da contratação é essencial para garantir o abastecimento regular, sobretudo em locais de difícil acesso, onde a logística própria da administração não é suficiente para atender à demanda com agilidade.</w:t>
      </w:r>
    </w:p>
    <w:p w14:paraId="0589B49B">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2.4.</w:t>
      </w:r>
      <w:r>
        <w:rPr>
          <w:rFonts w:hint="default" w:ascii="Arial" w:hAnsi="Arial" w:cs="Arial"/>
          <w:sz w:val="18"/>
          <w:szCs w:val="18"/>
        </w:rPr>
        <w:t xml:space="preserve"> Dessa forma, a contratação se mostra imprescindível para assegurar a continuidade e a qualidade dos serviços públicos prestados, respeitando os princípios da dignidade humana, da saúde e da eficiência na administração pública.</w:t>
      </w:r>
    </w:p>
    <w:p w14:paraId="730678CB">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bCs/>
          <w:sz w:val="18"/>
          <w:szCs w:val="18"/>
        </w:rPr>
        <w:t xml:space="preserve">2.5. </w:t>
      </w:r>
      <w:r>
        <w:rPr>
          <w:rFonts w:hint="default" w:ascii="Arial" w:hAnsi="Arial" w:eastAsia="Times New Roman" w:cs="Arial"/>
          <w:sz w:val="18"/>
          <w:szCs w:val="18"/>
        </w:rPr>
        <w:t>Além disso</w:t>
      </w:r>
      <w:r>
        <w:rPr>
          <w:rFonts w:hint="default" w:ascii="Arial" w:hAnsi="Arial" w:eastAsia="Arial" w:cs="Arial"/>
          <w:sz w:val="18"/>
          <w:szCs w:val="18"/>
        </w:rPr>
        <w:t xml:space="preserve">, informamos que a Ata de Registro de Preços referente ao objeto a ser licitado encontra-se próximo do término de sua vigência. Desse modo, considerando a proximidade do vencimento do instrumento celebrado, bem como o esgotamento do quantitativo licitado e a vedação aos acréscimos quantitativos em atas de registro de preços, torna-se necessária a realização de novo certame, cujos quantitativos a serem estimados neste documento  atendam as Secretarias da Prefeitura Municipal de Cataguases pelos próximos 12 (doze) meses, prorrogáveis por igual período. </w:t>
      </w:r>
    </w:p>
    <w:p w14:paraId="3FE847C2">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 xml:space="preserve">2.6. </w:t>
      </w:r>
      <w:r>
        <w:rPr>
          <w:rFonts w:hint="default" w:ascii="Arial" w:hAnsi="Arial" w:eastAsia="Arial" w:cs="Arial"/>
          <w:sz w:val="18"/>
          <w:szCs w:val="18"/>
        </w:rPr>
        <w:t>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78235A94">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bCs/>
          <w:sz w:val="18"/>
          <w:szCs w:val="18"/>
        </w:rPr>
      </w:pPr>
    </w:p>
    <w:p w14:paraId="79EF3876">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3. DESCRIÇÃO DA SOLUÇÃO COMO UM TODO</w:t>
      </w:r>
    </w:p>
    <w:p w14:paraId="733E3446">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Arial" w:cs="Arial"/>
          <w:sz w:val="18"/>
          <w:szCs w:val="18"/>
        </w:rPr>
      </w:pPr>
      <w:r>
        <w:rPr>
          <w:rFonts w:hint="default" w:ascii="Arial" w:hAnsi="Arial" w:eastAsia="Times New Roman" w:cs="Arial"/>
          <w:b/>
          <w:sz w:val="18"/>
          <w:szCs w:val="18"/>
        </w:rPr>
        <w:t>3.1.</w:t>
      </w:r>
      <w:r>
        <w:rPr>
          <w:rFonts w:hint="default" w:ascii="Arial" w:hAnsi="Arial" w:eastAsia="Times New Roman" w:cs="Arial"/>
          <w:sz w:val="18"/>
          <w:szCs w:val="18"/>
        </w:rPr>
        <w:t xml:space="preserve"> Opta-se pela </w:t>
      </w:r>
      <w:r>
        <w:rPr>
          <w:rStyle w:val="339"/>
          <w:rFonts w:hint="default" w:ascii="Arial" w:hAnsi="Arial" w:cs="Arial"/>
          <w:sz w:val="18"/>
          <w:szCs w:val="18"/>
        </w:rPr>
        <w:t>aquisição de água mineral com e sem retorno de vasilhamente, bem como em fardos com garrafas de no mínimo 500ml, com 12 unidades cada fardo, ambas sem gás, incluindo transporte e entrega,</w:t>
      </w:r>
      <w:r>
        <w:rPr>
          <w:rFonts w:hint="default" w:ascii="Arial" w:hAnsi="Arial" w:eastAsia="Times New Roman" w:cs="Arial"/>
          <w:sz w:val="18"/>
          <w:szCs w:val="18"/>
        </w:rPr>
        <w:t xml:space="preserve"> na modalidade Pregão Eletrônico, pelo Sistema de Registro de Preços (SRP), pretendendo de forma integrada, gerar resultados que atendam às necessidades definidas nos documentos de formalização e demanda (DFD’s) apresentados por cada área requisitante, os quais podemos enumerar: a do objeto pretendido dentro do prazo estipulado, cumprimento do prazo de garantia para troca dos itens que não estejam de acordo com o solicitado, disponibilização de todos os serviços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7EF733E3">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b/>
          <w:sz w:val="18"/>
          <w:szCs w:val="18"/>
        </w:rPr>
        <w:t>3.2.</w:t>
      </w:r>
      <w:r>
        <w:rPr>
          <w:rFonts w:hint="default" w:ascii="Arial" w:hAnsi="Arial" w:cs="Arial"/>
          <w:sz w:val="18"/>
          <w:szCs w:val="18"/>
        </w:rPr>
        <w:t>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78D558BF">
      <w:pPr>
        <w:pStyle w:val="16"/>
        <w:pageBreakBefore w:val="0"/>
        <w:kinsoku/>
        <w:wordWrap/>
        <w:overflowPunct/>
        <w:topLinePunct w:val="0"/>
        <w:bidi w:val="0"/>
        <w:snapToGrid/>
        <w:spacing w:beforeAutospacing="0" w:afterAutospacing="0" w:line="316"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3.3.</w:t>
      </w:r>
      <w:r>
        <w:rPr>
          <w:rFonts w:hint="default" w:ascii="Arial" w:hAnsi="Arial" w:cs="Arial"/>
          <w:sz w:val="18"/>
          <w:szCs w:val="18"/>
        </w:rPr>
        <w:t xml:space="preserve"> O critério de menor preço por lote é o mais vantajoso para esta  aquisição, pois </w:t>
      </w:r>
      <w:r>
        <w:rPr>
          <w:rFonts w:hint="default" w:ascii="Arial" w:hAnsi="Arial" w:cs="Arial"/>
          <w:color w:val="0D0D0D"/>
          <w:sz w:val="18"/>
          <w:szCs w:val="18"/>
        </w:rPr>
        <w:t>, assegura maior</w:t>
      </w:r>
      <w:r>
        <w:rPr>
          <w:rFonts w:hint="default" w:ascii="Arial" w:hAnsi="Arial" w:cs="Arial"/>
          <w:color w:val="0D0D0D"/>
          <w:spacing w:val="-3"/>
          <w:sz w:val="18"/>
          <w:szCs w:val="18"/>
        </w:rPr>
        <w:t xml:space="preserve"> </w:t>
      </w:r>
      <w:r>
        <w:rPr>
          <w:rFonts w:hint="default" w:ascii="Arial" w:hAnsi="Arial" w:cs="Arial"/>
          <w:color w:val="0D0D0D"/>
          <w:sz w:val="18"/>
          <w:szCs w:val="18"/>
        </w:rPr>
        <w:t>economicidade,</w:t>
      </w:r>
      <w:r>
        <w:rPr>
          <w:rFonts w:hint="default" w:ascii="Arial" w:hAnsi="Arial" w:cs="Arial"/>
          <w:color w:val="0D0D0D"/>
          <w:spacing w:val="-3"/>
          <w:sz w:val="18"/>
          <w:szCs w:val="18"/>
        </w:rPr>
        <w:t xml:space="preserve"> </w:t>
      </w:r>
      <w:r>
        <w:rPr>
          <w:rFonts w:hint="default" w:ascii="Arial" w:hAnsi="Arial" w:cs="Arial"/>
          <w:sz w:val="18"/>
          <w:szCs w:val="18"/>
        </w:rPr>
        <w:t>coerência técnica e operacional, redução de custos e ganho de escala, estímulo à competitividade especializada e simplificação da gestão contratual</w:t>
      </w:r>
      <w:r>
        <w:rPr>
          <w:rFonts w:hint="default" w:ascii="Arial" w:hAnsi="Arial" w:cs="Arial"/>
          <w:color w:val="0D0D0D"/>
          <w:sz w:val="18"/>
          <w:szCs w:val="18"/>
        </w:rPr>
        <w:t>.</w:t>
      </w:r>
    </w:p>
    <w:p w14:paraId="548C3CB6">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Times New Roman" w:cs="Arial"/>
          <w:sz w:val="18"/>
          <w:szCs w:val="18"/>
        </w:rPr>
      </w:pPr>
      <w:r>
        <w:rPr>
          <w:rFonts w:hint="default" w:ascii="Arial" w:hAnsi="Arial" w:eastAsia="Times New Roman" w:cs="Arial"/>
          <w:b/>
          <w:sz w:val="18"/>
          <w:szCs w:val="18"/>
        </w:rPr>
        <w:t>3.4.</w:t>
      </w:r>
      <w:r>
        <w:rPr>
          <w:rFonts w:hint="default" w:ascii="Arial" w:hAnsi="Arial" w:eastAsia="Times New Roman" w:cs="Arial"/>
          <w:sz w:val="18"/>
          <w:szCs w:val="18"/>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estipulado pela contratante a contar da emissão/envio da Autorização de Fornecimento. </w:t>
      </w:r>
    </w:p>
    <w:p w14:paraId="47872489">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bCs/>
          <w:sz w:val="18"/>
          <w:szCs w:val="18"/>
        </w:rPr>
      </w:pPr>
    </w:p>
    <w:p w14:paraId="427DCD99">
      <w:pPr>
        <w:keepNext/>
        <w:keepLines/>
        <w:pageBreakBefore w:val="0"/>
        <w:tabs>
          <w:tab w:val="left" w:pos="567"/>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4. REQUISITOS DA CONTRATAÇÃO</w:t>
      </w:r>
    </w:p>
    <w:p w14:paraId="25178FD5">
      <w:pPr>
        <w:pageBreakBefore w:val="0"/>
        <w:numPr>
          <w:ilvl w:val="0"/>
          <w:numId w:val="0"/>
        </w:numPr>
        <w:suppressAutoHyphens w:val="0"/>
        <w:kinsoku/>
        <w:wordWrap/>
        <w:overflowPunct/>
        <w:topLinePunct w:val="0"/>
        <w:bidi w:val="0"/>
        <w:snapToGrid/>
        <w:spacing w:beforeAutospacing="0" w:after="0" w:afterAutospacing="0" w:line="360" w:lineRule="auto"/>
        <w:ind w:leftChars="0" w:right="0" w:rightChars="0"/>
        <w:contextualSpacing/>
        <w:jc w:val="both"/>
        <w:textAlignment w:val="auto"/>
        <w:rPr>
          <w:rFonts w:hint="default" w:ascii="Arial" w:hAnsi="Arial" w:eastAsia="Times New Roman" w:cs="Arial"/>
          <w:sz w:val="18"/>
          <w:szCs w:val="18"/>
        </w:rPr>
      </w:pPr>
      <w:r>
        <w:rPr>
          <w:rFonts w:hint="default" w:ascii="Arial" w:hAnsi="Arial" w:eastAsia="Times New Roman" w:cs="Arial"/>
          <w:b/>
          <w:bCs/>
          <w:sz w:val="18"/>
          <w:szCs w:val="18"/>
          <w:lang w:val="pt-BR"/>
        </w:rPr>
        <w:t xml:space="preserve">4.1. </w:t>
      </w:r>
      <w:r>
        <w:rPr>
          <w:rFonts w:hint="default" w:ascii="Arial" w:hAnsi="Arial" w:eastAsia="Times New Roman" w:cs="Arial"/>
          <w:sz w:val="18"/>
          <w:szCs w:val="18"/>
        </w:rPr>
        <w:t>Cada item deverá seguir as</w:t>
      </w:r>
      <w:r>
        <w:rPr>
          <w:rFonts w:hint="default" w:ascii="Arial" w:hAnsi="Arial" w:eastAsia="Times New Roman" w:cs="Arial"/>
          <w:bCs/>
          <w:sz w:val="18"/>
          <w:szCs w:val="18"/>
        </w:rPr>
        <w:t xml:space="preserve"> especificações técnicas estabelecidas</w:t>
      </w:r>
      <w:r>
        <w:rPr>
          <w:rFonts w:hint="default" w:ascii="Arial" w:hAnsi="Arial" w:eastAsia="Times New Roman" w:cs="Arial"/>
          <w:sz w:val="18"/>
          <w:szCs w:val="18"/>
        </w:rPr>
        <w:t>, observando-se critérios de qualidade, validade, integridade, apresentação e segurança higiênico-sanitária.</w:t>
      </w:r>
    </w:p>
    <w:p w14:paraId="607CB3FD">
      <w:pPr>
        <w:pageBreakBefore w:val="0"/>
        <w:numPr>
          <w:ilvl w:val="0"/>
          <w:numId w:val="0"/>
        </w:numPr>
        <w:suppressAutoHyphens w:val="0"/>
        <w:kinsoku/>
        <w:wordWrap/>
        <w:overflowPunct/>
        <w:topLinePunct w:val="0"/>
        <w:bidi w:val="0"/>
        <w:snapToGrid/>
        <w:spacing w:beforeAutospacing="0" w:after="0" w:afterAutospacing="0" w:line="360" w:lineRule="auto"/>
        <w:ind w:leftChars="0" w:right="0" w:rightChars="0"/>
        <w:contextualSpacing/>
        <w:jc w:val="both"/>
        <w:textAlignment w:val="auto"/>
        <w:rPr>
          <w:rFonts w:hint="default" w:ascii="Arial" w:hAnsi="Arial" w:eastAsia="Times New Roman" w:cs="Arial"/>
          <w:color w:val="000000" w:themeColor="text1"/>
          <w:sz w:val="18"/>
          <w:szCs w:val="18"/>
          <w14:textFill>
            <w14:solidFill>
              <w14:schemeClr w14:val="tx1"/>
            </w14:solidFill>
          </w14:textFill>
        </w:rPr>
      </w:pPr>
      <w:r>
        <w:rPr>
          <w:rFonts w:hint="default" w:ascii="Arial" w:hAnsi="Arial" w:eastAsia="Times New Roman" w:cs="Arial"/>
          <w:b/>
          <w:bCs/>
          <w:sz w:val="18"/>
          <w:szCs w:val="18"/>
          <w:lang w:val="pt-BR"/>
        </w:rPr>
        <w:t xml:space="preserve">4.2. </w:t>
      </w:r>
      <w:r>
        <w:rPr>
          <w:rFonts w:hint="default" w:ascii="Arial" w:hAnsi="Arial" w:eastAsia="Times New Roman" w:cs="Arial"/>
          <w:sz w:val="18"/>
          <w:szCs w:val="18"/>
        </w:rPr>
        <w:t xml:space="preserve">A entrega será </w:t>
      </w:r>
      <w:r>
        <w:rPr>
          <w:rFonts w:hint="default" w:ascii="Arial" w:hAnsi="Arial" w:eastAsia="Times New Roman" w:cs="Arial"/>
          <w:bCs/>
          <w:sz w:val="18"/>
          <w:szCs w:val="18"/>
        </w:rPr>
        <w:t>de forma parcelada e conforme necessidade</w:t>
      </w:r>
      <w:r>
        <w:rPr>
          <w:rFonts w:hint="default" w:ascii="Arial" w:hAnsi="Arial" w:eastAsia="Times New Roman" w:cs="Arial"/>
          <w:sz w:val="18"/>
          <w:szCs w:val="18"/>
        </w:rPr>
        <w:t xml:space="preserve">, mediante envio Autorização de Fornecimento de responsabilidade da unidade solicitante, </w:t>
      </w:r>
      <w:r>
        <w:rPr>
          <w:rFonts w:hint="default" w:ascii="Arial" w:hAnsi="Arial" w:eastAsia="Times New Roman" w:cs="Arial"/>
          <w:color w:val="000000" w:themeColor="text1"/>
          <w:sz w:val="18"/>
          <w:szCs w:val="18"/>
          <w14:textFill>
            <w14:solidFill>
              <w14:schemeClr w14:val="tx1"/>
            </w14:solidFill>
          </w14:textFill>
        </w:rPr>
        <w:t xml:space="preserve">com prazos, locais e horários definidos a cada Solicitação. </w:t>
      </w:r>
    </w:p>
    <w:p w14:paraId="5385BC6B">
      <w:pPr>
        <w:pageBreakBefore w:val="0"/>
        <w:numPr>
          <w:ilvl w:val="0"/>
          <w:numId w:val="0"/>
        </w:numPr>
        <w:suppressAutoHyphens w:val="0"/>
        <w:kinsoku/>
        <w:wordWrap/>
        <w:overflowPunct/>
        <w:topLinePunct w:val="0"/>
        <w:bidi w:val="0"/>
        <w:snapToGrid/>
        <w:spacing w:beforeAutospacing="0" w:after="0" w:afterAutospacing="0" w:line="360" w:lineRule="auto"/>
        <w:ind w:leftChars="0" w:right="0" w:rightChars="0"/>
        <w:contextualSpacing/>
        <w:jc w:val="both"/>
        <w:textAlignment w:val="auto"/>
        <w:rPr>
          <w:rFonts w:hint="default" w:ascii="Arial" w:hAnsi="Arial" w:eastAsia="Times New Roman" w:cs="Arial"/>
          <w:b/>
          <w:color w:val="000000"/>
          <w:sz w:val="18"/>
          <w:szCs w:val="18"/>
        </w:rPr>
      </w:pPr>
      <w:r>
        <w:rPr>
          <w:rFonts w:hint="default" w:ascii="Arial" w:hAnsi="Arial" w:eastAsia="Times New Roman" w:cs="Arial"/>
          <w:b/>
          <w:bCs/>
          <w:sz w:val="18"/>
          <w:szCs w:val="18"/>
          <w:lang w:val="pt-BR"/>
        </w:rPr>
        <w:t xml:space="preserve">4.3. </w:t>
      </w:r>
      <w:r>
        <w:rPr>
          <w:rFonts w:hint="default" w:ascii="Arial" w:hAnsi="Arial" w:eastAsia="Times New Roman" w:cs="Arial"/>
          <w:b/>
          <w:bCs/>
          <w:sz w:val="18"/>
          <w:szCs w:val="18"/>
        </w:rPr>
        <w:t xml:space="preserve">A contratada deverá possuir </w:t>
      </w:r>
      <w:r>
        <w:rPr>
          <w:rFonts w:hint="default" w:ascii="Arial" w:hAnsi="Arial" w:cs="Arial"/>
          <w:b/>
          <w:bCs/>
          <w:sz w:val="18"/>
          <w:szCs w:val="18"/>
        </w:rPr>
        <w:t>estrutura compatível com o fornecimento dos itens, ora objeto da contratação, com sede ou unidade operacional localizada em até 20 (vinte) quilômetros da sede da Prefeitura, a qual está localizada na Praça Santa Rita, nº 462, Centro, cidade de Cataguases - MG, de forma a assegurar agilidade na entrega .</w:t>
      </w:r>
    </w:p>
    <w:p w14:paraId="1DB2E4EC">
      <w:pPr>
        <w:pageBreakBefore w:val="0"/>
        <w:numPr>
          <w:ilvl w:val="0"/>
          <w:numId w:val="0"/>
        </w:numPr>
        <w:suppressAutoHyphens w:val="0"/>
        <w:kinsoku/>
        <w:wordWrap/>
        <w:overflowPunct/>
        <w:topLinePunct w:val="0"/>
        <w:bidi w:val="0"/>
        <w:snapToGrid/>
        <w:spacing w:beforeAutospacing="0" w:after="0" w:afterAutospacing="0" w:line="360" w:lineRule="auto"/>
        <w:ind w:leftChars="0" w:right="0" w:rightChars="0"/>
        <w:contextualSpacing/>
        <w:jc w:val="both"/>
        <w:textAlignment w:val="auto"/>
        <w:rPr>
          <w:rFonts w:hint="default" w:ascii="Arial" w:hAnsi="Arial" w:eastAsia="Times New Roman" w:cs="Arial"/>
          <w:b/>
          <w:color w:val="000000"/>
          <w:sz w:val="18"/>
          <w:szCs w:val="18"/>
        </w:rPr>
      </w:pPr>
      <w:r>
        <w:rPr>
          <w:rFonts w:hint="default" w:ascii="Arial" w:hAnsi="Arial" w:eastAsia="Times New Roman" w:cs="Arial"/>
          <w:b/>
          <w:bCs/>
          <w:sz w:val="18"/>
          <w:szCs w:val="18"/>
          <w:lang w:val="pt-BR"/>
        </w:rPr>
        <w:t xml:space="preserve">4.4. </w:t>
      </w:r>
      <w:r>
        <w:rPr>
          <w:rFonts w:hint="default" w:ascii="Arial" w:hAnsi="Arial" w:eastAsia="Times New Roman" w:cs="Arial"/>
          <w:sz w:val="18"/>
          <w:szCs w:val="18"/>
        </w:rPr>
        <w:t xml:space="preserve">Todos os elementos elencados possibilitam que a contratação produza os efeitos pretendidos de forma satisfatória para a Administração. </w:t>
      </w:r>
    </w:p>
    <w:p w14:paraId="5B410A73">
      <w:pPr>
        <w:pageBreakBefore w:val="0"/>
        <w:numPr>
          <w:ilvl w:val="0"/>
          <w:numId w:val="0"/>
        </w:numPr>
        <w:kinsoku/>
        <w:wordWrap/>
        <w:overflowPunct/>
        <w:topLinePunct w:val="0"/>
        <w:bidi w:val="0"/>
        <w:snapToGrid/>
        <w:spacing w:beforeAutospacing="0" w:after="0" w:afterAutospacing="0" w:line="360" w:lineRule="auto"/>
        <w:ind w:leftChars="0" w:right="0" w:rightChars="0"/>
        <w:jc w:val="both"/>
        <w:textAlignment w:val="auto"/>
        <w:rPr>
          <w:rFonts w:hint="default" w:ascii="Arial" w:hAnsi="Arial" w:eastAsia="Times New Roman" w:cs="Arial"/>
          <w:b/>
          <w:color w:val="000000"/>
          <w:sz w:val="18"/>
          <w:szCs w:val="18"/>
        </w:rPr>
      </w:pPr>
      <w:r>
        <w:rPr>
          <w:rFonts w:hint="default" w:ascii="Arial" w:hAnsi="Arial" w:eastAsia="Times New Roman" w:cs="Arial"/>
          <w:b/>
          <w:bCs/>
          <w:sz w:val="18"/>
          <w:szCs w:val="18"/>
          <w:lang w:val="pt-BR"/>
        </w:rPr>
        <w:t xml:space="preserve">4.5. </w:t>
      </w:r>
      <w:r>
        <w:rPr>
          <w:rFonts w:hint="default" w:ascii="Arial" w:hAnsi="Arial" w:eastAsia="Times New Roman" w:cs="Arial"/>
          <w:b/>
          <w:color w:val="000000"/>
          <w:sz w:val="18"/>
          <w:szCs w:val="18"/>
        </w:rPr>
        <w:t>SUSTENTABILIDADE</w:t>
      </w:r>
    </w:p>
    <w:p w14:paraId="00F7C5E5">
      <w:pPr>
        <w:pageBreakBefore w:val="0"/>
        <w:shd w:val="clear" w:color="auto" w:fill="FFFFFF"/>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.5.1. </w:t>
      </w:r>
      <w:r>
        <w:rPr>
          <w:rFonts w:hint="default" w:ascii="Arial" w:hAnsi="Arial" w:eastAsia="Times New Roman" w:cs="Arial"/>
          <w:sz w:val="18"/>
          <w:szCs w:val="18"/>
        </w:rPr>
        <w:t xml:space="preserve">Não há critérios de sustentabilidade para esta contratação/ata. </w:t>
      </w:r>
    </w:p>
    <w:p w14:paraId="66A21A3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.6. SUBCONTRATAÇÃO </w:t>
      </w:r>
    </w:p>
    <w:p w14:paraId="5C78619C">
      <w:pPr>
        <w:pageBreakBefore w:val="0"/>
        <w:tabs>
          <w:tab w:val="left" w:pos="142"/>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.6.1. </w:t>
      </w:r>
      <w:r>
        <w:rPr>
          <w:rFonts w:hint="default" w:ascii="Arial" w:hAnsi="Arial" w:eastAsia="Times New Roman" w:cs="Arial"/>
          <w:color w:val="000000"/>
          <w:sz w:val="18"/>
          <w:szCs w:val="18"/>
        </w:rPr>
        <w:t>Não é admitida a subcontratação do objeto contratual.</w:t>
      </w:r>
    </w:p>
    <w:p w14:paraId="0F3B5A8E">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.7. GARANTIA DA CONTRATAÇÃO</w:t>
      </w:r>
    </w:p>
    <w:p w14:paraId="6C60592A">
      <w:pPr>
        <w:pageBreakBefore w:val="0"/>
        <w:tabs>
          <w:tab w:val="left" w:pos="142"/>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sz w:val="18"/>
          <w:szCs w:val="18"/>
        </w:rPr>
      </w:pPr>
      <w:r>
        <w:rPr>
          <w:rFonts w:hint="default" w:ascii="Arial" w:hAnsi="Arial" w:eastAsia="Times New Roman" w:cs="Arial"/>
          <w:b/>
          <w:color w:val="000000"/>
          <w:sz w:val="18"/>
          <w:szCs w:val="18"/>
          <w:lang w:val="pt-BR"/>
        </w:rPr>
        <w:t>4</w:t>
      </w:r>
      <w:r>
        <w:rPr>
          <w:rFonts w:hint="default" w:ascii="Arial" w:hAnsi="Arial" w:eastAsia="Times New Roman" w:cs="Arial"/>
          <w:b/>
          <w:color w:val="000000"/>
          <w:sz w:val="18"/>
          <w:szCs w:val="18"/>
        </w:rPr>
        <w:t xml:space="preserve">.7.1. </w:t>
      </w:r>
      <w:r>
        <w:rPr>
          <w:rFonts w:hint="default" w:ascii="Arial" w:hAnsi="Arial" w:eastAsia="Times New Roman" w:cs="Arial"/>
          <w:sz w:val="18"/>
          <w:szCs w:val="18"/>
        </w:rPr>
        <w:t>Nos termos do art. 96 da Lei Federal nº 14.133/21, a Administração opta por não exigir garantia de execução, considerando a natureza do objeto</w:t>
      </w:r>
      <w:r>
        <w:rPr>
          <w:rFonts w:hint="default" w:ascii="Arial" w:hAnsi="Arial" w:eastAsia="Times New Roman" w:cs="Arial"/>
          <w:color w:val="000000"/>
          <w:sz w:val="18"/>
          <w:szCs w:val="18"/>
        </w:rPr>
        <w:t xml:space="preserve">. </w:t>
      </w:r>
    </w:p>
    <w:p w14:paraId="7CB4F7F5">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eastAsiaTheme="minorHAnsi"/>
          <w:sz w:val="18"/>
          <w:szCs w:val="18"/>
          <w:lang w:eastAsia="en-US"/>
        </w:rPr>
      </w:pPr>
      <w:r>
        <w:rPr>
          <w:rFonts w:hint="default" w:cs="Arial"/>
          <w:b/>
          <w:sz w:val="18"/>
          <w:szCs w:val="18"/>
          <w:lang w:val="pt-BR"/>
        </w:rPr>
        <w:t>4</w:t>
      </w:r>
      <w:r>
        <w:rPr>
          <w:rFonts w:hint="default" w:ascii="Arial" w:hAnsi="Arial" w:cs="Arial"/>
          <w:b/>
          <w:sz w:val="18"/>
          <w:szCs w:val="18"/>
        </w:rPr>
        <w:t xml:space="preserve">.8. </w:t>
      </w:r>
      <w:r>
        <w:rPr>
          <w:rFonts w:hint="default" w:ascii="Arial" w:hAnsi="Arial" w:cs="Arial" w:eastAsiaTheme="minorHAnsi"/>
          <w:b/>
          <w:bCs/>
          <w:sz w:val="18"/>
          <w:szCs w:val="18"/>
          <w:lang w:eastAsia="en-US"/>
        </w:rPr>
        <w:t xml:space="preserve">DA VEDAÇÃO DE CONTRATAÇÃO DE MARCA OU PRODUTO </w:t>
      </w:r>
    </w:p>
    <w:p w14:paraId="0739F316">
      <w:pPr>
        <w:pageBreakBefore w:val="0"/>
        <w:kinsoku/>
        <w:wordWrap/>
        <w:overflowPunct/>
        <w:topLinePunct w:val="0"/>
        <w:autoSpaceDE w:val="0"/>
        <w:autoSpaceDN w:val="0"/>
        <w:bidi w:val="0"/>
        <w:snapToGrid/>
        <w:spacing w:beforeAutospacing="0" w:after="0" w:afterAutospacing="0"/>
        <w:ind w:left="0" w:leftChars="0" w:right="0" w:firstLine="0" w:firstLineChars="0"/>
        <w:jc w:val="both"/>
        <w:textAlignment w:val="auto"/>
        <w:rPr>
          <w:rFonts w:hint="default" w:ascii="Arial" w:hAnsi="Arial" w:cs="Arial" w:eastAsiaTheme="minorHAnsi"/>
          <w:color w:val="000000"/>
          <w:sz w:val="18"/>
          <w:szCs w:val="18"/>
        </w:rPr>
      </w:pPr>
      <w:r>
        <w:rPr>
          <w:rFonts w:hint="default" w:ascii="Arial" w:hAnsi="Arial" w:cs="Arial" w:eastAsiaTheme="minorHAnsi"/>
          <w:b/>
          <w:color w:val="000000"/>
          <w:sz w:val="18"/>
          <w:szCs w:val="18"/>
          <w:lang w:val="pt-BR"/>
        </w:rPr>
        <w:t>4</w:t>
      </w:r>
      <w:r>
        <w:rPr>
          <w:rFonts w:hint="default" w:ascii="Arial" w:hAnsi="Arial" w:cs="Arial" w:eastAsiaTheme="minorHAnsi"/>
          <w:b/>
          <w:color w:val="000000"/>
          <w:sz w:val="18"/>
          <w:szCs w:val="18"/>
        </w:rPr>
        <w:t>.8.1.</w:t>
      </w:r>
      <w:r>
        <w:rPr>
          <w:rFonts w:hint="default" w:ascii="Arial" w:hAnsi="Arial" w:cs="Arial" w:eastAsiaTheme="minorHAnsi"/>
          <w:color w:val="000000"/>
          <w:sz w:val="18"/>
          <w:szCs w:val="18"/>
        </w:rPr>
        <w:t xml:space="preserve">  Não há vedação de marcas ou produtos, desde que cumpra todos os requisitos solicitados.</w:t>
      </w:r>
    </w:p>
    <w:p w14:paraId="40D1DA16">
      <w:pPr>
        <w:pageBreakBefore w:val="0"/>
        <w:tabs>
          <w:tab w:val="left" w:pos="142"/>
        </w:tabs>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p>
    <w:p w14:paraId="2072F77D">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 EXECUÇÃO DO OBJETO</w:t>
      </w:r>
    </w:p>
    <w:p w14:paraId="03947887">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lang w:val="pt-BR"/>
        </w:rPr>
        <w:t>5</w:t>
      </w:r>
      <w:r>
        <w:rPr>
          <w:rFonts w:hint="default" w:ascii="Arial" w:hAnsi="Arial" w:cs="Arial"/>
          <w:b/>
          <w:sz w:val="18"/>
          <w:szCs w:val="18"/>
        </w:rPr>
        <w:t xml:space="preserve">.1. </w:t>
      </w:r>
      <w:r>
        <w:rPr>
          <w:rFonts w:hint="default" w:ascii="Arial" w:hAnsi="Arial" w:cs="Arial"/>
          <w:color w:val="000000" w:themeColor="text1"/>
          <w:sz w:val="18"/>
          <w:szCs w:val="18"/>
          <w14:textFill>
            <w14:solidFill>
              <w14:schemeClr w14:val="tx1"/>
            </w14:solidFill>
          </w14:textFill>
        </w:rPr>
        <w:t>A entrega</w:t>
      </w:r>
      <w:r>
        <w:rPr>
          <w:rFonts w:hint="default" w:ascii="Arial" w:hAnsi="Arial" w:cs="Arial"/>
          <w:sz w:val="18"/>
          <w:szCs w:val="18"/>
        </w:rPr>
        <w:t xml:space="preserve"> será realizada conforme a necessidade da Unidade Requisitante, com o prazo de 48 (quarenta e oito) horas à partir da data de envio da Solicitação de Fornecimento, salvo em casos de demandas urgentes. </w:t>
      </w:r>
    </w:p>
    <w:p w14:paraId="75263033">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color w:val="C00000"/>
          <w:sz w:val="18"/>
          <w:szCs w:val="18"/>
        </w:rPr>
      </w:pPr>
      <w:r>
        <w:rPr>
          <w:rFonts w:hint="default" w:ascii="Arial" w:hAnsi="Arial" w:cs="Arial"/>
          <w:b/>
          <w:bCs/>
          <w:sz w:val="18"/>
          <w:szCs w:val="18"/>
          <w:lang w:val="pt-BR"/>
        </w:rPr>
        <w:t>5</w:t>
      </w:r>
      <w:r>
        <w:rPr>
          <w:rFonts w:hint="default" w:ascii="Arial" w:hAnsi="Arial" w:cs="Arial"/>
          <w:b/>
          <w:bCs/>
          <w:sz w:val="18"/>
          <w:szCs w:val="18"/>
        </w:rPr>
        <w:t xml:space="preserve">.1.1. </w:t>
      </w:r>
      <w:r>
        <w:rPr>
          <w:rFonts w:hint="default" w:ascii="Arial" w:hAnsi="Arial" w:cs="Arial"/>
          <w:color w:val="000000" w:themeColor="text1"/>
          <w:sz w:val="18"/>
          <w:szCs w:val="18"/>
          <w14:textFill>
            <w14:solidFill>
              <w14:schemeClr w14:val="tx1"/>
            </w14:solidFill>
          </w14:textFill>
        </w:rPr>
        <w:t>Considera-se demandas urgentes aquelas solicitadas com antecedência máxima de 24 (vinte e quatro) horas da entrega dos itens, desde que devidamente justificado pela Unidade Requisitante e mediante envio de Solicitação de Fornecimento.</w:t>
      </w:r>
      <w:r>
        <w:rPr>
          <w:rFonts w:hint="default" w:ascii="Arial" w:hAnsi="Arial" w:cs="Arial"/>
          <w:color w:val="C00000"/>
          <w:sz w:val="18"/>
          <w:szCs w:val="18"/>
        </w:rPr>
        <w:t xml:space="preserve"> </w:t>
      </w:r>
    </w:p>
    <w:p w14:paraId="72A0F242">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C00000"/>
          <w:sz w:val="18"/>
          <w:szCs w:val="18"/>
        </w:rPr>
      </w:pPr>
      <w:r>
        <w:rPr>
          <w:rFonts w:hint="default" w:ascii="Arial" w:hAnsi="Arial" w:eastAsia="Times New Roman" w:cs="Arial"/>
          <w:b/>
          <w:bCs/>
          <w:color w:val="000000" w:themeColor="text1"/>
          <w:sz w:val="18"/>
          <w:szCs w:val="18"/>
          <w:lang w:val="pt-BR"/>
          <w14:textFill>
            <w14:solidFill>
              <w14:schemeClr w14:val="tx1"/>
            </w14:solidFill>
          </w14:textFill>
        </w:rPr>
        <w:t>5</w:t>
      </w:r>
      <w:r>
        <w:rPr>
          <w:rFonts w:hint="default" w:ascii="Arial" w:hAnsi="Arial" w:eastAsia="Times New Roman" w:cs="Arial"/>
          <w:b/>
          <w:bCs/>
          <w:color w:val="000000" w:themeColor="text1"/>
          <w:sz w:val="18"/>
          <w:szCs w:val="18"/>
          <w14:textFill>
            <w14:solidFill>
              <w14:schemeClr w14:val="tx1"/>
            </w14:solidFill>
          </w14:textFill>
        </w:rPr>
        <w:t>.2.</w:t>
      </w:r>
      <w:r>
        <w:rPr>
          <w:rFonts w:hint="default" w:ascii="Arial" w:hAnsi="Arial" w:eastAsia="Times New Roman" w:cs="Arial"/>
          <w:b/>
          <w:bCs/>
          <w:color w:val="C00000"/>
          <w:sz w:val="18"/>
          <w:szCs w:val="18"/>
        </w:rPr>
        <w:t xml:space="preserve"> </w:t>
      </w:r>
      <w:r>
        <w:rPr>
          <w:rFonts w:hint="default" w:ascii="Arial" w:hAnsi="Arial" w:eastAsia="Times New Roman" w:cs="Arial"/>
          <w:color w:val="000000" w:themeColor="text1"/>
          <w:sz w:val="18"/>
          <w:szCs w:val="18"/>
          <w14:textFill>
            <w14:solidFill>
              <w14:schemeClr w14:val="tx1"/>
            </w14:solidFill>
          </w14:textFill>
        </w:rPr>
        <w:t>Os itens deverão ser entregues adequadamente, de forma a permitir completa segurança durante o transporte</w:t>
      </w:r>
      <w:r>
        <w:rPr>
          <w:rFonts w:hint="default" w:ascii="Arial" w:hAnsi="Arial" w:eastAsia="Times New Roman" w:cs="Arial"/>
          <w:color w:val="C00000"/>
          <w:sz w:val="18"/>
          <w:szCs w:val="18"/>
        </w:rPr>
        <w:t>.</w:t>
      </w:r>
    </w:p>
    <w:p w14:paraId="055AA9AD">
      <w:pPr>
        <w:pageBreakBefore w:val="0"/>
        <w:tabs>
          <w:tab w:val="left" w:pos="426"/>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 xml:space="preserve">.3. </w:t>
      </w:r>
      <w:r>
        <w:rPr>
          <w:rFonts w:hint="default" w:ascii="Arial" w:hAnsi="Arial" w:eastAsia="Times New Roman" w:cs="Arial"/>
          <w:color w:val="000000"/>
          <w:sz w:val="18"/>
          <w:szCs w:val="18"/>
        </w:rPr>
        <w:t xml:space="preserve">Os </w:t>
      </w:r>
      <w:r>
        <w:rPr>
          <w:rFonts w:hint="default" w:ascii="Arial" w:hAnsi="Arial" w:eastAsia="Times New Roman" w:cs="Arial"/>
          <w:color w:val="000000" w:themeColor="text1"/>
          <w:sz w:val="18"/>
          <w:szCs w:val="18"/>
          <w14:textFill>
            <w14:solidFill>
              <w14:schemeClr w14:val="tx1"/>
            </w14:solidFill>
          </w14:textFill>
        </w:rPr>
        <w:t>itens</w:t>
      </w:r>
      <w:r>
        <w:rPr>
          <w:rFonts w:hint="default" w:ascii="Arial" w:hAnsi="Arial" w:eastAsia="Times New Roman" w:cs="Arial"/>
          <w:color w:val="000000"/>
          <w:sz w:val="18"/>
          <w:szCs w:val="18"/>
        </w:rPr>
        <w:t xml:space="preserve"> serão rigorosamente avaliados no ato da entrega nos quesitos qualidade. Caso os mesmos estejam em desacordo ao que foi solicitado, as notas não serão assinadas.</w:t>
      </w:r>
    </w:p>
    <w:p w14:paraId="58DB3D70">
      <w:pPr>
        <w:pageBreakBefore w:val="0"/>
        <w:tabs>
          <w:tab w:val="left" w:pos="567"/>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cs="Arial"/>
          <w:b/>
          <w:color w:val="000000"/>
          <w:sz w:val="18"/>
          <w:szCs w:val="18"/>
          <w:shd w:val="clear" w:color="auto" w:fill="FFFFFF"/>
          <w:lang w:val="pt-BR"/>
        </w:rPr>
        <w:t>5</w:t>
      </w:r>
      <w:r>
        <w:rPr>
          <w:rFonts w:hint="default" w:ascii="Arial" w:hAnsi="Arial" w:cs="Arial"/>
          <w:b/>
          <w:color w:val="000000"/>
          <w:sz w:val="18"/>
          <w:szCs w:val="18"/>
          <w:shd w:val="clear" w:color="auto" w:fill="FFFFFF"/>
        </w:rPr>
        <w:t xml:space="preserve">.4. </w:t>
      </w:r>
      <w:r>
        <w:rPr>
          <w:rFonts w:hint="default" w:ascii="Arial" w:hAnsi="Arial" w:eastAsia="Times New Roman" w:cs="Arial"/>
          <w:color w:val="000000"/>
          <w:sz w:val="18"/>
          <w:szCs w:val="18"/>
        </w:rPr>
        <w:t>As notas fiscais deverão ser assinadas pelo funcionário responsável pelo recebimento.</w:t>
      </w:r>
    </w:p>
    <w:p w14:paraId="3E11E0F2">
      <w:pPr>
        <w:pageBreakBefore w:val="0"/>
        <w:suppressAutoHyphens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lang w:eastAsia="zh-CN"/>
        </w:rPr>
      </w:pPr>
      <w:r>
        <w:rPr>
          <w:rFonts w:hint="default" w:ascii="Arial" w:hAnsi="Arial" w:eastAsia="Times New Roman" w:cs="Arial"/>
          <w:b/>
          <w:color w:val="000000"/>
          <w:sz w:val="18"/>
          <w:szCs w:val="18"/>
          <w:lang w:val="pt-BR"/>
        </w:rPr>
        <w:t>5</w:t>
      </w:r>
      <w:r>
        <w:rPr>
          <w:rFonts w:hint="default" w:ascii="Arial" w:hAnsi="Arial" w:eastAsia="Times New Roman" w:cs="Arial"/>
          <w:b/>
          <w:color w:val="000000"/>
          <w:sz w:val="18"/>
          <w:szCs w:val="18"/>
        </w:rPr>
        <w:t>.5.</w:t>
      </w:r>
      <w:r>
        <w:rPr>
          <w:rFonts w:hint="default" w:ascii="Arial" w:hAnsi="Arial" w:eastAsia="Times New Roman" w:cs="Arial"/>
          <w:color w:val="000000"/>
          <w:sz w:val="18"/>
          <w:szCs w:val="18"/>
        </w:rPr>
        <w:t xml:space="preserve"> Os</w:t>
      </w:r>
      <w:r>
        <w:rPr>
          <w:rFonts w:hint="default" w:ascii="Arial" w:hAnsi="Arial" w:eastAsia="Times New Roman" w:cs="Arial"/>
          <w:color w:val="000000" w:themeColor="text1"/>
          <w:sz w:val="18"/>
          <w:szCs w:val="18"/>
          <w14:textFill>
            <w14:solidFill>
              <w14:schemeClr w14:val="tx1"/>
            </w14:solidFill>
          </w14:textFill>
        </w:rPr>
        <w:t xml:space="preserve"> itens</w:t>
      </w:r>
      <w:r>
        <w:rPr>
          <w:rFonts w:hint="default" w:ascii="Arial" w:hAnsi="Arial" w:eastAsia="Times New Roman" w:cs="Arial"/>
          <w:color w:val="000000"/>
          <w:sz w:val="18"/>
          <w:szCs w:val="18"/>
        </w:rPr>
        <w:t xml:space="preserve"> poderão ser rejeitados, no todo ou em parte, quando em desacordo com as especificações constantes neste Termo de Referência e na proposta, devendo ser substituídos no prazo estipulado pela CONTRATANTE, </w:t>
      </w:r>
      <w:r>
        <w:rPr>
          <w:rFonts w:hint="default" w:ascii="Arial" w:hAnsi="Arial" w:cs="Arial"/>
          <w:sz w:val="18"/>
          <w:szCs w:val="18"/>
          <w:lang w:eastAsia="zh-CN"/>
        </w:rPr>
        <w:t>onde a CONTRATADA deverá arcar  com todas as despesas, diretas ou indiretas, decorrentes do descumprimento.</w:t>
      </w:r>
    </w:p>
    <w:p w14:paraId="3D39D0CF">
      <w:pPr>
        <w:pageBreakBefore w:val="0"/>
        <w:suppressAutoHyphens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val="pt-BR"/>
        </w:rPr>
        <w:t>5</w:t>
      </w:r>
      <w:r>
        <w:rPr>
          <w:rFonts w:hint="default" w:ascii="Arial" w:hAnsi="Arial" w:eastAsia="Times New Roman" w:cs="Arial"/>
          <w:b/>
          <w:sz w:val="18"/>
          <w:szCs w:val="18"/>
        </w:rPr>
        <w:t xml:space="preserve">.6. </w:t>
      </w:r>
      <w:r>
        <w:rPr>
          <w:rFonts w:hint="default" w:ascii="Arial" w:hAnsi="Arial" w:eastAsia="Times New Roman" w:cs="Arial"/>
          <w:sz w:val="18"/>
          <w:szCs w:val="18"/>
        </w:rPr>
        <w:t xml:space="preserve">Os locais de entrega serão informados no ato do envio das Autorizações de Fornecimento (e-mail direcionado ao fornecedor) ou descrito nas mesmas. </w:t>
      </w:r>
    </w:p>
    <w:p w14:paraId="7CA315FD">
      <w:pPr>
        <w:pageBreakBefore w:val="0"/>
        <w:suppressAutoHyphens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val="pt-BR"/>
        </w:rPr>
        <w:t>5</w:t>
      </w:r>
      <w:r>
        <w:rPr>
          <w:rFonts w:hint="default" w:ascii="Arial" w:hAnsi="Arial" w:eastAsia="Times New Roman" w:cs="Arial"/>
          <w:b/>
          <w:sz w:val="18"/>
          <w:szCs w:val="18"/>
        </w:rPr>
        <w:t>.7.</w:t>
      </w:r>
      <w:r>
        <w:rPr>
          <w:rFonts w:hint="default" w:ascii="Arial" w:hAnsi="Arial" w:eastAsia="Times New Roman" w:cs="Arial"/>
          <w:sz w:val="18"/>
          <w:szCs w:val="18"/>
        </w:rPr>
        <w:t xml:space="preserve"> Os horários de entrega deverão ser de 08:00h às 11:00h e de 13:00h às 16:00h, em dias úteis.</w:t>
      </w:r>
    </w:p>
    <w:p w14:paraId="0BF17B11">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lang w:val="pt-BR"/>
        </w:rPr>
        <w:t>5</w:t>
      </w:r>
      <w:r>
        <w:rPr>
          <w:rFonts w:hint="default" w:ascii="Arial" w:hAnsi="Arial" w:cs="Arial"/>
          <w:b/>
          <w:sz w:val="18"/>
          <w:szCs w:val="18"/>
        </w:rPr>
        <w:t>.8</w:t>
      </w:r>
      <w:r>
        <w:rPr>
          <w:rFonts w:hint="default" w:ascii="Arial" w:hAnsi="Arial" w:cs="Arial"/>
          <w:sz w:val="18"/>
          <w:szCs w:val="18"/>
        </w:rPr>
        <w:t>. A contratada deverá observar rigorosamente as normas da ANVISA e demais normas sanitárias vigentes quanto ao armazenamento, transporte e entrega dos itens.</w:t>
      </w:r>
    </w:p>
    <w:p w14:paraId="2E796D93">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lang w:val="pt-BR"/>
          <w14:textFill>
            <w14:solidFill>
              <w14:schemeClr w14:val="tx1"/>
            </w14:solidFill>
          </w14:textFill>
        </w:rPr>
        <w:t>5</w:t>
      </w:r>
      <w:r>
        <w:rPr>
          <w:rFonts w:hint="default" w:ascii="Arial" w:hAnsi="Arial" w:cs="Arial"/>
          <w:b/>
          <w:color w:val="000000" w:themeColor="text1"/>
          <w:sz w:val="18"/>
          <w:szCs w:val="18"/>
          <w14:textFill>
            <w14:solidFill>
              <w14:schemeClr w14:val="tx1"/>
            </w14:solidFill>
          </w14:textFill>
        </w:rPr>
        <w:t>.9.</w:t>
      </w:r>
      <w:r>
        <w:rPr>
          <w:rFonts w:hint="default" w:ascii="Arial" w:hAnsi="Arial" w:cs="Arial"/>
          <w:color w:val="C00000"/>
          <w:sz w:val="18"/>
          <w:szCs w:val="18"/>
        </w:rPr>
        <w:t xml:space="preserve"> </w:t>
      </w:r>
      <w:r>
        <w:rPr>
          <w:rFonts w:hint="default" w:ascii="Arial" w:hAnsi="Arial" w:cs="Arial"/>
          <w:color w:val="000000" w:themeColor="text1"/>
          <w:sz w:val="18"/>
          <w:szCs w:val="18"/>
          <w14:textFill>
            <w14:solidFill>
              <w14:schemeClr w14:val="tx1"/>
            </w14:solidFill>
          </w14:textFill>
        </w:rPr>
        <w:t>Por motivos de força maior ou caso fortuito, a CONTRATANTE poderá, mediante justificativa, alterar os endereços ou locais previamente estabelecidos para a entrega dos itens, devendo a CONTRATADA ser previamente comunicada, com a antecedência possível, para fins de readequação logística e cumprimento da nova programação.</w:t>
      </w:r>
    </w:p>
    <w:p w14:paraId="1ACBA020">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lang w:val="pt-BR"/>
        </w:rPr>
        <w:t>5</w:t>
      </w:r>
      <w:r>
        <w:rPr>
          <w:rFonts w:hint="default" w:ascii="Arial" w:hAnsi="Arial" w:cs="Arial"/>
          <w:b/>
          <w:sz w:val="18"/>
          <w:szCs w:val="18"/>
        </w:rPr>
        <w:t>.10. GARANTIA DO OBJETO</w:t>
      </w:r>
    </w:p>
    <w:p w14:paraId="75E6BA61">
      <w:pPr>
        <w:pStyle w:val="23"/>
        <w:pageBreakBefore w:val="0"/>
        <w:kinsoku/>
        <w:wordWrap/>
        <w:overflowPunct/>
        <w:topLinePunct w:val="0"/>
        <w:bidi w:val="0"/>
        <w:snapToGrid/>
        <w:spacing w:before="0"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b/>
          <w:sz w:val="18"/>
          <w:szCs w:val="18"/>
          <w:lang w:val="pt-BR"/>
        </w:rPr>
        <w:t>5</w:t>
      </w:r>
      <w:r>
        <w:rPr>
          <w:rFonts w:hint="default" w:ascii="Arial" w:hAnsi="Arial" w:cs="Arial"/>
          <w:b/>
          <w:sz w:val="18"/>
          <w:szCs w:val="18"/>
        </w:rPr>
        <w:t xml:space="preserve">.10.1. </w:t>
      </w:r>
      <w:r>
        <w:rPr>
          <w:rFonts w:hint="default" w:ascii="Arial" w:hAnsi="Arial" w:cs="Arial"/>
          <w:sz w:val="18"/>
          <w:szCs w:val="18"/>
        </w:rPr>
        <w:t>A empresa contratada será responsável por garantir a</w:t>
      </w:r>
      <w:r>
        <w:rPr>
          <w:rFonts w:hint="default" w:ascii="Arial" w:hAnsi="Arial" w:cs="Arial"/>
          <w:b/>
          <w:sz w:val="18"/>
          <w:szCs w:val="18"/>
        </w:rPr>
        <w:t xml:space="preserve"> </w:t>
      </w:r>
      <w:r>
        <w:rPr>
          <w:rStyle w:val="8"/>
          <w:rFonts w:hint="default" w:ascii="Arial" w:hAnsi="Arial" w:cs="Arial"/>
          <w:b w:val="0"/>
          <w:sz w:val="18"/>
          <w:szCs w:val="18"/>
        </w:rPr>
        <w:t>qualidade, integridade, validade e condições higiênico-sanitárias</w:t>
      </w:r>
      <w:r>
        <w:rPr>
          <w:rFonts w:hint="default" w:ascii="Arial" w:hAnsi="Arial" w:cs="Arial"/>
          <w:sz w:val="18"/>
          <w:szCs w:val="18"/>
        </w:rPr>
        <w:t xml:space="preserve"> dos itens, observando rigorosamente os padrões estabelecidos pelo </w:t>
      </w:r>
      <w:r>
        <w:rPr>
          <w:rStyle w:val="8"/>
          <w:rFonts w:hint="default" w:ascii="Arial" w:hAnsi="Arial" w:cs="Arial"/>
          <w:b w:val="0"/>
          <w:sz w:val="18"/>
          <w:szCs w:val="18"/>
        </w:rPr>
        <w:t>Código de Defesa do Consumidor (Lei nº 8.078/1990)</w:t>
      </w:r>
      <w:r>
        <w:rPr>
          <w:rFonts w:hint="default" w:ascii="Arial" w:hAnsi="Arial" w:cs="Arial"/>
          <w:sz w:val="18"/>
          <w:szCs w:val="18"/>
        </w:rPr>
        <w:t>, bem como pelas normas sanitárias vigentes.</w:t>
      </w:r>
    </w:p>
    <w:p w14:paraId="0BE75562">
      <w:pPr>
        <w:pStyle w:val="23"/>
        <w:pageBreakBefore w:val="0"/>
        <w:kinsoku/>
        <w:wordWrap/>
        <w:overflowPunct/>
        <w:topLinePunct w:val="0"/>
        <w:bidi w:val="0"/>
        <w:snapToGrid/>
        <w:spacing w:before="0" w:beforeAutospacing="0" w:after="0" w:afterAutospacing="0" w:line="360" w:lineRule="auto"/>
        <w:ind w:left="0" w:leftChars="0" w:right="0" w:firstLine="0" w:firstLineChars="0"/>
        <w:contextualSpacing/>
        <w:jc w:val="both"/>
        <w:textAlignment w:val="auto"/>
        <w:rPr>
          <w:rFonts w:hint="default" w:ascii="Arial" w:hAnsi="Arial" w:cs="Arial"/>
          <w:color w:val="000000" w:themeColor="text1"/>
          <w:sz w:val="18"/>
          <w:szCs w:val="18"/>
          <w14:textFill>
            <w14:solidFill>
              <w14:schemeClr w14:val="tx1"/>
            </w14:solidFill>
          </w14:textFill>
        </w:rPr>
      </w:pPr>
    </w:p>
    <w:p w14:paraId="2A7147F7">
      <w:pPr>
        <w:pageBreakBefore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lang w:val="pt-BR"/>
        </w:rPr>
        <w:t>6</w:t>
      </w:r>
      <w:r>
        <w:rPr>
          <w:rFonts w:hint="default" w:ascii="Arial" w:hAnsi="Arial" w:cs="Arial"/>
          <w:b/>
          <w:bCs/>
          <w:sz w:val="18"/>
          <w:szCs w:val="18"/>
        </w:rPr>
        <w:t>. JUSTIFICATIVA DA DISTÂNCIA DAS INSTALAÇÕES DA LICITANTE VENCEDORA</w:t>
      </w:r>
    </w:p>
    <w:p w14:paraId="2935726E">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eastAsia="Times New Roman" w:cs="Arial"/>
          <w:b/>
          <w:bCs/>
          <w:sz w:val="18"/>
          <w:szCs w:val="18"/>
          <w:lang w:val="pt-BR"/>
        </w:rPr>
        <w:t>6</w:t>
      </w:r>
      <w:r>
        <w:rPr>
          <w:rFonts w:hint="default" w:ascii="Arial" w:hAnsi="Arial" w:eastAsia="Times New Roman" w:cs="Arial"/>
          <w:b/>
          <w:bCs/>
          <w:sz w:val="18"/>
          <w:szCs w:val="18"/>
        </w:rPr>
        <w:t>.1.</w:t>
      </w:r>
      <w:r>
        <w:rPr>
          <w:rFonts w:hint="default" w:ascii="Arial" w:hAnsi="Arial" w:eastAsia="Times New Roman" w:cs="Arial"/>
          <w:sz w:val="18"/>
          <w:szCs w:val="18"/>
        </w:rPr>
        <w:t xml:space="preserve"> </w:t>
      </w:r>
      <w:r>
        <w:rPr>
          <w:rFonts w:hint="default" w:ascii="Arial" w:hAnsi="Arial" w:cs="Arial"/>
          <w:sz w:val="18"/>
          <w:szCs w:val="18"/>
        </w:rPr>
        <w:t>A exigência de que a empresa contratada possua sede ou unidade operacional localizada em um raio máximo de 20 (vinte) quilômetros da sede da Prefeitura do Município de Cataguases/MG fundamenta-se na necessidade de assegurar agilidade, eficiência e segurança logística no fornecimento dos bens contratados, neste caso, água mineral em diversas formas de embalagem (galões, garrafas e), com transporte e entrega inclusos.</w:t>
      </w:r>
      <w:r>
        <w:rPr>
          <w:rFonts w:hint="default" w:ascii="Arial" w:hAnsi="Arial" w:cs="Arial"/>
          <w:sz w:val="18"/>
          <w:szCs w:val="18"/>
        </w:rPr>
        <w:br w:type="textWrapping"/>
      </w:r>
      <w:r>
        <w:rPr>
          <w:rFonts w:hint="default" w:ascii="Arial" w:hAnsi="Arial" w:cs="Arial"/>
          <w:b/>
          <w:sz w:val="18"/>
          <w:szCs w:val="18"/>
          <w:lang w:val="pt-BR"/>
        </w:rPr>
        <w:t>6</w:t>
      </w:r>
      <w:r>
        <w:rPr>
          <w:rFonts w:hint="default" w:ascii="Arial" w:hAnsi="Arial" w:cs="Arial"/>
          <w:b/>
          <w:sz w:val="18"/>
          <w:szCs w:val="18"/>
        </w:rPr>
        <w:t>.2.</w:t>
      </w:r>
      <w:r>
        <w:rPr>
          <w:rFonts w:hint="default" w:ascii="Arial" w:hAnsi="Arial" w:cs="Arial"/>
          <w:sz w:val="18"/>
          <w:szCs w:val="18"/>
        </w:rPr>
        <w:t xml:space="preserve"> Essa medida é justificada pelos seguintes motivos:</w:t>
      </w:r>
    </w:p>
    <w:p w14:paraId="74D0ACF3">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sz w:val="18"/>
          <w:szCs w:val="18"/>
          <w:u w:val="single"/>
        </w:rPr>
        <w:t>- Garantia de entregas frequentes e emergenciais:</w:t>
      </w:r>
      <w:r>
        <w:rPr>
          <w:rFonts w:hint="default" w:ascii="Arial" w:hAnsi="Arial" w:cs="Arial"/>
          <w:sz w:val="18"/>
          <w:szCs w:val="18"/>
        </w:rPr>
        <w:t xml:space="preserve"> Devido à natureza do produto (bem de consumo diário e essencial à saúde e à dignidade da pessoa humana), é necessário que a empresa tenha capacidade de reposição ágil, inclusive em casos emergenciais, como aumento imprevisto da demanda em unidades de saúde, escolas, eventos públicos e até mesmo nos órgãos que compõem Administração Pública Municipal. </w:t>
      </w:r>
    </w:p>
    <w:p w14:paraId="7C02F5BD">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sz w:val="18"/>
          <w:szCs w:val="18"/>
          <w:u w:val="single"/>
        </w:rPr>
        <w:t>- Evita deterioração ou má conservação durante o transporte</w:t>
      </w:r>
      <w:r>
        <w:rPr>
          <w:rFonts w:hint="default" w:ascii="Arial" w:hAnsi="Arial" w:cs="Arial"/>
          <w:sz w:val="18"/>
          <w:szCs w:val="18"/>
        </w:rPr>
        <w:t>: Embora a água mineral seja envasada e lacrada, longas distâncias de transporte podem prejudicar a integridade do produto, exposto a calor excessivo ou manuseio inadequado. A proximidade da empresa reduz esses riscos.</w:t>
      </w:r>
    </w:p>
    <w:p w14:paraId="497CA302">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sz w:val="18"/>
          <w:szCs w:val="18"/>
          <w:u w:val="single"/>
        </w:rPr>
        <w:t>- Redução de tempo de deslocamento e atrasos logísticos:</w:t>
      </w:r>
      <w:r>
        <w:rPr>
          <w:rFonts w:hint="default" w:ascii="Arial" w:hAnsi="Arial" w:cs="Arial"/>
          <w:sz w:val="18"/>
          <w:szCs w:val="18"/>
        </w:rPr>
        <w:t xml:space="preserve"> A entrega de água deve ocorrer de forma pontual e constante, conforme cronograma definido pela Administração. A empresa situada próxima aos pontos de entrega reduz a probabilidade de atrasos logísticos causados por condições de trânsito, estradas ou indisponibilidade de veículos.</w:t>
      </w:r>
    </w:p>
    <w:p w14:paraId="2A497B4A">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sz w:val="18"/>
          <w:szCs w:val="18"/>
          <w:u w:val="single"/>
        </w:rPr>
        <w:t>- Menor impacto ambiental com deslocamentos curtos:</w:t>
      </w:r>
      <w:r>
        <w:rPr>
          <w:rFonts w:hint="default" w:ascii="Arial" w:hAnsi="Arial" w:cs="Arial"/>
          <w:sz w:val="18"/>
          <w:szCs w:val="18"/>
        </w:rPr>
        <w:t xml:space="preserve"> Reduzir o percurso entre fornecedor e consumidor final diminui a emissão de gases poluentes por veículos de transporte, em consonância com as diretrizes de sustentabilidade e responsabilidade ambiental.</w:t>
      </w:r>
    </w:p>
    <w:p w14:paraId="41CF29DA">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sz w:val="18"/>
          <w:szCs w:val="18"/>
          <w:u w:val="single"/>
        </w:rPr>
        <w:t>- Facilidade na troca de vasilhames com retorno</w:t>
      </w:r>
      <w:r>
        <w:rPr>
          <w:rFonts w:hint="default" w:ascii="Arial" w:hAnsi="Arial" w:cs="Arial"/>
          <w:sz w:val="18"/>
          <w:szCs w:val="18"/>
        </w:rPr>
        <w:t>: No caso de fornecimento de galões com retorno, a logística reversa exige deslocamentos regulares e com frequência elevada. Empresas localizadas fora da região tendem a apresentar dificuldades ou custos adicionais nesse tipo de logística, afetando a economicidade da contratação.</w:t>
      </w:r>
    </w:p>
    <w:p w14:paraId="42D75DE7">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sz w:val="18"/>
          <w:szCs w:val="18"/>
          <w:u w:val="single"/>
        </w:rPr>
        <w:t xml:space="preserve">- Viabilidade técnica do objeto: </w:t>
      </w:r>
      <w:r>
        <w:rPr>
          <w:rFonts w:hint="default" w:ascii="Arial" w:hAnsi="Arial" w:cs="Arial"/>
          <w:sz w:val="18"/>
          <w:szCs w:val="18"/>
        </w:rPr>
        <w:t>O fornecimento de água mineral com entrega contínua exige infraestrutura local compatível, frota disponível, armazenamento adequado, equipe para manuseio e entrega , o que só pode ser assegurado por empresas com base operacional próxima.</w:t>
      </w:r>
    </w:p>
    <w:p w14:paraId="1453E897">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sz w:val="18"/>
          <w:szCs w:val="18"/>
          <w:u w:val="single"/>
        </w:rPr>
        <w:t xml:space="preserve">- Facilidade de fiscalização e gestão contratual: </w:t>
      </w:r>
      <w:r>
        <w:rPr>
          <w:rFonts w:hint="default" w:ascii="Arial" w:hAnsi="Arial" w:cs="Arial"/>
          <w:sz w:val="18"/>
          <w:szCs w:val="18"/>
        </w:rPr>
        <w:t>A curta distância permite que os setores da Prefeitura realizem inspeções, reuniões técnicas e vistorias com maior agilidade, facilitando o acompanhamento do contrato e a solução de eventuais não conformidades.</w:t>
      </w:r>
    </w:p>
    <w:p w14:paraId="1C10654F">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sz w:val="18"/>
          <w:szCs w:val="18"/>
          <w:u w:val="single"/>
        </w:rPr>
        <w:t>- Valorização da economia local e regional:</w:t>
      </w:r>
      <w:r>
        <w:rPr>
          <w:rFonts w:hint="default" w:ascii="Arial" w:hAnsi="Arial" w:cs="Arial"/>
          <w:sz w:val="18"/>
          <w:szCs w:val="18"/>
        </w:rPr>
        <w:t xml:space="preserve"> A exigência favorece a contratação de empresas da região, promovendo o desenvolvimento econômico local e gerando emprego e renda no entorno do município, sem impedir a ampla concorrência dentro do raio estabelecido.</w:t>
      </w:r>
    </w:p>
    <w:p w14:paraId="43450DF7">
      <w:pPr>
        <w:pageBreakBefore w:val="0"/>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b/>
          <w:sz w:val="18"/>
          <w:szCs w:val="18"/>
          <w:lang w:val="pt-BR"/>
        </w:rPr>
        <w:t>6</w:t>
      </w:r>
      <w:r>
        <w:rPr>
          <w:rFonts w:hint="default" w:ascii="Arial" w:hAnsi="Arial" w:cs="Arial"/>
          <w:b/>
          <w:sz w:val="18"/>
          <w:szCs w:val="18"/>
        </w:rPr>
        <w:t>.3.</w:t>
      </w:r>
      <w:r>
        <w:rPr>
          <w:rFonts w:hint="default" w:ascii="Arial" w:hAnsi="Arial" w:cs="Arial"/>
          <w:sz w:val="18"/>
          <w:szCs w:val="18"/>
        </w:rPr>
        <w:t xml:space="preserve"> Dessa forma, a exigência de que a empresa possua sede ou unidade operacional em um raio de até 20 km da sede da Prefeitura não constitui restrição injustificada à competitividade, mas sim um critério técnico, proporcional e alinhado ao interesse público, especialmente por se tratar de bem de necessidade essencial, de consumo imediato e com exigências logísticas específicas.</w:t>
      </w:r>
    </w:p>
    <w:p w14:paraId="27A6A8DA">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262E6ECB">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GESTÃO DO CONTRATO</w:t>
      </w:r>
    </w:p>
    <w:p w14:paraId="76972CE6">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xml:space="preserve">.1.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38656E4E">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 xml:space="preserve">.1.1. </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06A8C5E5">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536F0031">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.1.3.</w:t>
      </w:r>
      <w:r>
        <w:rPr>
          <w:rFonts w:hint="default" w:ascii="Arial" w:hAnsi="Arial" w:eastAsia="Times New Roman" w:cs="Arial"/>
          <w:color w:val="000000"/>
          <w:sz w:val="18"/>
          <w:szCs w:val="18"/>
        </w:rPr>
        <w:t xml:space="preserve">  Reparar, corrigir, remover, reconstruir ou substituir, às suas expensas, no todo ou em parte, o objeto desta Ata de Registro de Preços em que se verificarem vícios, defeitos ou incorreções resultantes dos serviços.</w:t>
      </w:r>
    </w:p>
    <w:p w14:paraId="7223F07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lang w:eastAsia="zh-CN"/>
        </w:rPr>
      </w:pPr>
      <w:r>
        <w:rPr>
          <w:rFonts w:hint="default" w:ascii="Arial" w:hAnsi="Arial" w:cs="Arial"/>
          <w:b/>
          <w:sz w:val="18"/>
          <w:szCs w:val="18"/>
          <w:lang w:val="pt-BR" w:eastAsia="zh-CN"/>
        </w:rPr>
        <w:t>7</w:t>
      </w:r>
      <w:r>
        <w:rPr>
          <w:rFonts w:hint="default" w:ascii="Arial" w:hAnsi="Arial" w:cs="Arial"/>
          <w:b/>
          <w:sz w:val="18"/>
          <w:szCs w:val="18"/>
          <w:lang w:eastAsia="zh-CN"/>
        </w:rPr>
        <w:t>.1.4.</w:t>
      </w:r>
      <w:r>
        <w:rPr>
          <w:rFonts w:hint="default" w:ascii="Arial" w:hAnsi="Arial" w:cs="Arial"/>
          <w:sz w:val="18"/>
          <w:szCs w:val="18"/>
          <w:lang w:eastAsia="zh-CN"/>
        </w:rPr>
        <w:t xml:space="preserve"> Responsabilizar-se pelo carregamento e transporte até o local de entrega.</w:t>
      </w:r>
    </w:p>
    <w:p w14:paraId="76878B90">
      <w:pPr>
        <w:pageBreakBefore w:val="0"/>
        <w:suppressAutoHyphens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lang w:eastAsia="zh-CN"/>
        </w:rPr>
      </w:pPr>
      <w:r>
        <w:rPr>
          <w:rFonts w:hint="default" w:ascii="Arial" w:hAnsi="Arial" w:cs="Arial"/>
          <w:b/>
          <w:sz w:val="18"/>
          <w:szCs w:val="18"/>
          <w:lang w:val="pt-BR" w:eastAsia="zh-CN"/>
        </w:rPr>
        <w:t>7</w:t>
      </w:r>
      <w:r>
        <w:rPr>
          <w:rFonts w:hint="default" w:ascii="Arial" w:hAnsi="Arial" w:cs="Arial"/>
          <w:b/>
          <w:sz w:val="18"/>
          <w:szCs w:val="18"/>
          <w:lang w:eastAsia="zh-CN"/>
        </w:rPr>
        <w:t>.1.5</w:t>
      </w:r>
      <w:r>
        <w:rPr>
          <w:rFonts w:hint="default" w:ascii="Arial" w:hAnsi="Arial" w:cs="Arial"/>
          <w:sz w:val="18"/>
          <w:szCs w:val="18"/>
          <w:lang w:eastAsia="zh-CN"/>
        </w:rPr>
        <w:t xml:space="preserve">. Aos itens que couberem, deverão </w:t>
      </w:r>
      <w:r>
        <w:rPr>
          <w:rFonts w:hint="default" w:ascii="Arial" w:hAnsi="Arial" w:cs="Arial"/>
          <w:sz w:val="18"/>
          <w:szCs w:val="18"/>
        </w:rPr>
        <w:t xml:space="preserve">apresentar procedência, </w:t>
      </w:r>
      <w:r>
        <w:rPr>
          <w:rFonts w:hint="default" w:ascii="Arial" w:hAnsi="Arial" w:eastAsia="Times New Roman" w:cs="Arial"/>
          <w:bCs/>
          <w:sz w:val="18"/>
          <w:szCs w:val="18"/>
        </w:rPr>
        <w:t>e</w:t>
      </w:r>
      <w:r>
        <w:rPr>
          <w:rFonts w:hint="default" w:ascii="Arial" w:hAnsi="Arial" w:cs="Arial"/>
          <w:sz w:val="18"/>
          <w:szCs w:val="18"/>
        </w:rPr>
        <w:t xml:space="preserve">  </w:t>
      </w:r>
      <w:r>
        <w:rPr>
          <w:rStyle w:val="8"/>
          <w:rFonts w:hint="default" w:ascii="Arial" w:hAnsi="Arial" w:cs="Arial"/>
          <w:b w:val="0"/>
          <w:sz w:val="18"/>
          <w:szCs w:val="18"/>
        </w:rPr>
        <w:t>data de validade visível e dentro do prazo apto ao consumo</w:t>
      </w:r>
      <w:r>
        <w:rPr>
          <w:rFonts w:hint="default" w:ascii="Arial" w:hAnsi="Arial" w:cs="Arial"/>
          <w:sz w:val="18"/>
          <w:szCs w:val="18"/>
        </w:rPr>
        <w:t>.</w:t>
      </w:r>
    </w:p>
    <w:p w14:paraId="36C2F4EC">
      <w:pPr>
        <w:pageBreakBefore w:val="0"/>
        <w:tabs>
          <w:tab w:val="left" w:pos="142"/>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.1.7.</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0F5C0F9D">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val="pt-BR"/>
        </w:rPr>
        <w:t>7</w:t>
      </w:r>
      <w:r>
        <w:rPr>
          <w:rFonts w:hint="default" w:ascii="Arial" w:hAnsi="Arial" w:eastAsia="Times New Roman" w:cs="Arial"/>
          <w:b/>
          <w:sz w:val="18"/>
          <w:szCs w:val="18"/>
        </w:rPr>
        <w:t>.1.</w:t>
      </w:r>
      <w:r>
        <w:rPr>
          <w:rFonts w:hint="default" w:ascii="Arial" w:hAnsi="Arial" w:eastAsia="Times New Roman" w:cs="Arial"/>
          <w:b/>
          <w:sz w:val="18"/>
          <w:szCs w:val="18"/>
          <w:lang w:val="pt-BR"/>
        </w:rPr>
        <w:t>8</w:t>
      </w:r>
      <w:r>
        <w:rPr>
          <w:rFonts w:hint="default" w:ascii="Arial" w:hAnsi="Arial" w:eastAsia="Times New Roman" w:cs="Arial"/>
          <w:b/>
          <w:sz w:val="18"/>
          <w:szCs w:val="18"/>
        </w:rPr>
        <w:t xml:space="preserve">. </w:t>
      </w:r>
      <w:r>
        <w:rPr>
          <w:rFonts w:hint="default" w:ascii="Arial" w:hAnsi="Arial" w:eastAsia="Times New Roman" w:cs="Arial"/>
          <w:sz w:val="18"/>
          <w:szCs w:val="18"/>
        </w:rPr>
        <w:t xml:space="preserve">A entrega será de forma parcelada, de acordo com as demandas da Unidade Requisitante, mediante envio da Solicitação de Fornecimento dentro do prazo estipulado no item 6.1 e 6.1.1, contados do recebimento da Solicitação de Fornecimento, devendo ser entregues no endereço informado pelo setor requisitante. </w:t>
      </w:r>
    </w:p>
    <w:p w14:paraId="5A19DA62">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val="pt-BR"/>
        </w:rPr>
        <w:t>7</w:t>
      </w:r>
      <w:r>
        <w:rPr>
          <w:rFonts w:hint="default" w:ascii="Arial" w:hAnsi="Arial" w:eastAsia="Times New Roman" w:cs="Arial"/>
          <w:b/>
          <w:sz w:val="18"/>
          <w:szCs w:val="18"/>
        </w:rPr>
        <w:t>.1.</w:t>
      </w:r>
      <w:r>
        <w:rPr>
          <w:rFonts w:hint="default" w:ascii="Arial" w:hAnsi="Arial" w:eastAsia="Times New Roman" w:cs="Arial"/>
          <w:b/>
          <w:sz w:val="18"/>
          <w:szCs w:val="18"/>
          <w:lang w:val="pt-BR"/>
        </w:rPr>
        <w:t>9</w:t>
      </w:r>
      <w:r>
        <w:rPr>
          <w:rFonts w:hint="default" w:ascii="Arial" w:hAnsi="Arial" w:eastAsia="Times New Roman" w:cs="Arial"/>
          <w:b/>
          <w:sz w:val="18"/>
          <w:szCs w:val="18"/>
        </w:rPr>
        <w:t xml:space="preserve">. </w:t>
      </w:r>
      <w:r>
        <w:rPr>
          <w:rFonts w:hint="default" w:ascii="Arial" w:hAnsi="Arial" w:eastAsia="Times New Roman" w:cs="Arial"/>
          <w:sz w:val="18"/>
          <w:szCs w:val="18"/>
        </w:rPr>
        <w:t>Efetuar a execução do objeto em perfeitas condições, conforme especificações, prazo e local constantes no Termo de Referência e seus ANEXOS, acompanhado da respectiva nota fiscal, na qual constarão as indicações referentes, no mínimo, a procedência e prazo de validade;</w:t>
      </w:r>
    </w:p>
    <w:p w14:paraId="6AED4A2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lang w:val="pt-BR"/>
        </w:rPr>
        <w:t>7</w:t>
      </w:r>
      <w:r>
        <w:rPr>
          <w:rFonts w:hint="default" w:ascii="Arial" w:hAnsi="Arial" w:eastAsia="Times New Roman" w:cs="Arial"/>
          <w:b/>
          <w:color w:val="000000"/>
          <w:sz w:val="18"/>
          <w:szCs w:val="18"/>
        </w:rPr>
        <w:t>.1.</w:t>
      </w:r>
      <w:r>
        <w:rPr>
          <w:rFonts w:hint="default" w:ascii="Arial" w:hAnsi="Arial" w:eastAsia="Times New Roman" w:cs="Arial"/>
          <w:b/>
          <w:color w:val="000000"/>
          <w:sz w:val="18"/>
          <w:szCs w:val="18"/>
          <w:lang w:val="pt-BR"/>
        </w:rPr>
        <w:t>10</w:t>
      </w:r>
      <w:r>
        <w:rPr>
          <w:rFonts w:hint="default" w:ascii="Arial" w:hAnsi="Arial" w:eastAsia="Times New Roman" w:cs="Arial"/>
          <w:b/>
          <w:color w:val="000000"/>
          <w:sz w:val="18"/>
          <w:szCs w:val="18"/>
        </w:rPr>
        <w:t>.</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3413854E">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val="pt-BR"/>
        </w:rPr>
        <w:t>7</w:t>
      </w:r>
      <w:r>
        <w:rPr>
          <w:rFonts w:hint="default" w:ascii="Arial" w:hAnsi="Arial" w:eastAsia="Times New Roman" w:cs="Arial"/>
          <w:b/>
          <w:sz w:val="18"/>
          <w:szCs w:val="18"/>
        </w:rPr>
        <w:t>.1.</w:t>
      </w:r>
      <w:r>
        <w:rPr>
          <w:rFonts w:hint="default" w:ascii="Arial" w:hAnsi="Arial" w:eastAsia="Times New Roman" w:cs="Arial"/>
          <w:b/>
          <w:sz w:val="18"/>
          <w:szCs w:val="18"/>
          <w:lang w:val="pt-BR"/>
        </w:rPr>
        <w:t>11</w:t>
      </w:r>
      <w:r>
        <w:rPr>
          <w:rFonts w:hint="default" w:ascii="Arial" w:hAnsi="Arial" w:eastAsia="Times New Roman" w:cs="Arial"/>
          <w:b/>
          <w:sz w:val="18"/>
          <w:szCs w:val="18"/>
        </w:rPr>
        <w:t>.</w:t>
      </w:r>
      <w:r>
        <w:rPr>
          <w:rFonts w:hint="default" w:ascii="Arial" w:hAnsi="Arial" w:eastAsia="Times New Roman" w:cs="Arial"/>
          <w:sz w:val="18"/>
          <w:szCs w:val="18"/>
        </w:rPr>
        <w:t xml:space="preserve"> Deverá conter na Nota Fiscal, o número da Solicitação de Fornecimento e número de empenho referente ao produto.</w:t>
      </w:r>
    </w:p>
    <w:p w14:paraId="77779F82">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p>
    <w:p w14:paraId="693D464E">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2CD6060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sz w:val="18"/>
          <w:szCs w:val="18"/>
          <w:lang w:val="en-US"/>
        </w:rPr>
        <w:t>7</w:t>
      </w:r>
      <w:r>
        <w:rPr>
          <w:rFonts w:hint="default" w:ascii="Arial" w:hAnsi="Arial" w:eastAsia="Times New Roman" w:cs="Arial"/>
          <w:b/>
          <w:sz w:val="18"/>
          <w:szCs w:val="18"/>
        </w:rPr>
        <w:t>.2.1</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Promover o acompanhamento e a fiscalização da execução do objeto da aquisição.</w:t>
      </w:r>
    </w:p>
    <w:p w14:paraId="1A7E668E">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7.2.2.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7101A0BC">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themeColor="text1"/>
          <w:sz w:val="18"/>
          <w:szCs w:val="18"/>
          <w14:textFill>
            <w14:solidFill>
              <w14:schemeClr w14:val="tx1"/>
            </w14:solidFill>
          </w14:textFill>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w:t>
      </w:r>
      <w:r>
        <w:rPr>
          <w:rFonts w:hint="default" w:ascii="Arial" w:hAnsi="Arial" w:eastAsia="Times New Roman" w:cs="Arial"/>
          <w:color w:val="000000" w:themeColor="text1"/>
          <w:sz w:val="18"/>
          <w:szCs w:val="18"/>
          <w14:textFill>
            <w14:solidFill>
              <w14:schemeClr w14:val="tx1"/>
            </w14:solidFill>
          </w14:textFill>
        </w:rPr>
        <w:t>até 30 (trinta) dias consecutivos após o recebimento da mesma, devidamente atestada.</w:t>
      </w:r>
    </w:p>
    <w:p w14:paraId="05F414B8">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o(s) iten(s) e/ou que não satisfizerem aos padrões exigidos nas especificações e recomendações da contratante.</w:t>
      </w:r>
    </w:p>
    <w:p w14:paraId="0534FF63">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xml:space="preserve">, por escrito, quando não efetuar a(s) entrega(s), </w:t>
      </w:r>
      <w:r>
        <w:rPr>
          <w:rFonts w:hint="default" w:ascii="Arial" w:hAnsi="Arial" w:eastAsia="Times New Roman" w:cs="Arial"/>
          <w:sz w:val="18"/>
          <w:szCs w:val="18"/>
        </w:rPr>
        <w:t>após o prazo de execução estipulado pela CONTRATANTE.</w:t>
      </w:r>
    </w:p>
    <w:p w14:paraId="54B2C258">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da Ata de Registro de Preços.</w:t>
      </w:r>
    </w:p>
    <w:p w14:paraId="0523F3D8">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7BB60C10">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34779064">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bCs/>
          <w:sz w:val="18"/>
          <w:szCs w:val="18"/>
        </w:rPr>
      </w:pPr>
    </w:p>
    <w:p w14:paraId="713F8B99">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Times New Roman" w:cs="Arial"/>
          <w:b/>
          <w:sz w:val="18"/>
          <w:szCs w:val="18"/>
        </w:rPr>
      </w:pPr>
      <w:r>
        <w:rPr>
          <w:rFonts w:hint="default" w:ascii="Arial" w:hAnsi="Arial" w:eastAsia="Times New Roman" w:cs="Arial"/>
          <w:b/>
          <w:color w:val="000000"/>
          <w:sz w:val="18"/>
          <w:szCs w:val="18"/>
        </w:rPr>
        <w:t>8. DA FISCALIZAÇÃO DO CONTRATO</w:t>
      </w:r>
    </w:p>
    <w:tbl>
      <w:tblPr>
        <w:tblStyle w:val="6"/>
        <w:tblpPr w:leftFromText="141" w:rightFromText="141" w:vertAnchor="text" w:horzAnchor="page" w:tblpXSpec="center" w:tblpY="790"/>
        <w:tblW w:w="9791" w:type="dxa"/>
        <w:jc w:val="center"/>
        <w:tblLayout w:type="fixed"/>
        <w:tblCellMar>
          <w:top w:w="0" w:type="dxa"/>
          <w:left w:w="108" w:type="dxa"/>
          <w:bottom w:w="0" w:type="dxa"/>
          <w:right w:w="108" w:type="dxa"/>
        </w:tblCellMar>
      </w:tblPr>
      <w:tblGrid>
        <w:gridCol w:w="5465"/>
        <w:gridCol w:w="4326"/>
      </w:tblGrid>
      <w:tr w14:paraId="6C20D754">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42753E45">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Secretaria/Setor</w:t>
            </w:r>
          </w:p>
        </w:tc>
        <w:tc>
          <w:tcPr>
            <w:tcW w:w="4326" w:type="dxa"/>
            <w:tcBorders>
              <w:top w:val="single" w:color="000000" w:sz="4" w:space="0"/>
              <w:left w:val="single" w:color="000000" w:sz="4" w:space="0"/>
              <w:bottom w:val="single" w:color="000000" w:sz="4" w:space="0"/>
              <w:right w:val="single" w:color="000000" w:sz="4" w:space="0"/>
            </w:tcBorders>
            <w:vAlign w:val="center"/>
          </w:tcPr>
          <w:p w14:paraId="2037A83E">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Fiscal</w:t>
            </w:r>
          </w:p>
        </w:tc>
      </w:tr>
      <w:tr w14:paraId="7E7702B9">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4478F4A1">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Saúde</w:t>
            </w:r>
          </w:p>
        </w:tc>
        <w:tc>
          <w:tcPr>
            <w:tcW w:w="4326" w:type="dxa"/>
            <w:tcBorders>
              <w:top w:val="single" w:color="000000" w:sz="4" w:space="0"/>
              <w:left w:val="single" w:color="000000" w:sz="4" w:space="0"/>
              <w:bottom w:val="single" w:color="000000" w:sz="4" w:space="0"/>
              <w:right w:val="single" w:color="000000" w:sz="4" w:space="0"/>
            </w:tcBorders>
            <w:vAlign w:val="center"/>
          </w:tcPr>
          <w:p w14:paraId="3E933E92">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cs="Arial"/>
                <w:sz w:val="18"/>
                <w:szCs w:val="18"/>
              </w:rPr>
              <w:t>Jonas de Souza Barbosa</w:t>
            </w:r>
          </w:p>
        </w:tc>
      </w:tr>
      <w:tr w14:paraId="447EACC0">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66AA4FC9">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Agricultura e Meio Ambiente</w:t>
            </w:r>
          </w:p>
        </w:tc>
        <w:tc>
          <w:tcPr>
            <w:tcW w:w="4326" w:type="dxa"/>
            <w:tcBorders>
              <w:top w:val="single" w:color="000000" w:sz="4" w:space="0"/>
              <w:left w:val="single" w:color="000000" w:sz="4" w:space="0"/>
              <w:bottom w:val="single" w:color="000000" w:sz="4" w:space="0"/>
              <w:right w:val="single" w:color="000000" w:sz="4" w:space="0"/>
            </w:tcBorders>
            <w:vAlign w:val="center"/>
          </w:tcPr>
          <w:p w14:paraId="4FFC8818">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Tiago Viana Gonçalves dos Santos</w:t>
            </w:r>
          </w:p>
        </w:tc>
      </w:tr>
      <w:tr w14:paraId="251E5FE1">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56CB5343">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Obras</w:t>
            </w:r>
          </w:p>
        </w:tc>
        <w:tc>
          <w:tcPr>
            <w:tcW w:w="4326" w:type="dxa"/>
            <w:tcBorders>
              <w:top w:val="single" w:color="000000" w:sz="4" w:space="0"/>
              <w:left w:val="single" w:color="000000" w:sz="4" w:space="0"/>
              <w:bottom w:val="single" w:color="000000" w:sz="4" w:space="0"/>
              <w:right w:val="single" w:color="000000" w:sz="4" w:space="0"/>
            </w:tcBorders>
            <w:vAlign w:val="center"/>
          </w:tcPr>
          <w:p w14:paraId="742BA73B">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Adriano Ferreira de Freitas</w:t>
            </w:r>
          </w:p>
        </w:tc>
      </w:tr>
      <w:tr w14:paraId="40169B2B">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6B1C9E55">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Desenvolvimento Econômico e Gestão Institucional</w:t>
            </w:r>
          </w:p>
        </w:tc>
        <w:tc>
          <w:tcPr>
            <w:tcW w:w="4326" w:type="dxa"/>
            <w:tcBorders>
              <w:top w:val="single" w:color="000000" w:sz="4" w:space="0"/>
              <w:left w:val="single" w:color="000000" w:sz="4" w:space="0"/>
              <w:bottom w:val="single" w:color="000000" w:sz="4" w:space="0"/>
              <w:right w:val="single" w:color="000000" w:sz="4" w:space="0"/>
            </w:tcBorders>
            <w:vAlign w:val="center"/>
          </w:tcPr>
          <w:p w14:paraId="17997C75">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cs="Arial"/>
                <w:sz w:val="18"/>
                <w:szCs w:val="18"/>
              </w:rPr>
              <w:t>Raphael Ferreira Arqueti</w:t>
            </w:r>
          </w:p>
        </w:tc>
      </w:tr>
      <w:tr w14:paraId="6320DEF8">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26E01B9D">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Administração</w:t>
            </w:r>
          </w:p>
        </w:tc>
        <w:tc>
          <w:tcPr>
            <w:tcW w:w="4326" w:type="dxa"/>
            <w:tcBorders>
              <w:top w:val="single" w:color="000000" w:sz="4" w:space="0"/>
              <w:left w:val="single" w:color="000000" w:sz="4" w:space="0"/>
              <w:bottom w:val="single" w:color="000000" w:sz="4" w:space="0"/>
              <w:right w:val="single" w:color="000000" w:sz="4" w:space="0"/>
            </w:tcBorders>
            <w:vAlign w:val="center"/>
          </w:tcPr>
          <w:p w14:paraId="55183279">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Maria Fernanda Gonçalves Gail</w:t>
            </w:r>
          </w:p>
        </w:tc>
      </w:tr>
      <w:tr w14:paraId="5F679CC9">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2A54E2BB">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Cultura e Turismo</w:t>
            </w:r>
          </w:p>
        </w:tc>
        <w:tc>
          <w:tcPr>
            <w:tcW w:w="4326" w:type="dxa"/>
            <w:tcBorders>
              <w:top w:val="single" w:color="000000" w:sz="4" w:space="0"/>
              <w:left w:val="single" w:color="000000" w:sz="4" w:space="0"/>
              <w:bottom w:val="single" w:color="000000" w:sz="4" w:space="0"/>
              <w:right w:val="single" w:color="000000" w:sz="4" w:space="0"/>
            </w:tcBorders>
            <w:vAlign w:val="center"/>
          </w:tcPr>
          <w:p w14:paraId="33094EF4">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Carolina Paiva Neves Frade da Cruz</w:t>
            </w:r>
          </w:p>
        </w:tc>
      </w:tr>
      <w:tr w14:paraId="405077CD">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75DE5932">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Esportes</w:t>
            </w:r>
          </w:p>
        </w:tc>
        <w:tc>
          <w:tcPr>
            <w:tcW w:w="4326" w:type="dxa"/>
            <w:tcBorders>
              <w:top w:val="single" w:color="000000" w:sz="4" w:space="0"/>
              <w:left w:val="single" w:color="000000" w:sz="4" w:space="0"/>
              <w:bottom w:val="single" w:color="000000" w:sz="4" w:space="0"/>
              <w:right w:val="single" w:color="000000" w:sz="4" w:space="0"/>
            </w:tcBorders>
            <w:vAlign w:val="center"/>
          </w:tcPr>
          <w:p w14:paraId="461920F2">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Rafael Carvalho </w:t>
            </w:r>
          </w:p>
        </w:tc>
      </w:tr>
      <w:tr w14:paraId="1E9CDF15">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6B74ECD0">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Gabinete do Prefeito</w:t>
            </w:r>
          </w:p>
        </w:tc>
        <w:tc>
          <w:tcPr>
            <w:tcW w:w="4326" w:type="dxa"/>
            <w:tcBorders>
              <w:top w:val="single" w:color="000000" w:sz="4" w:space="0"/>
              <w:left w:val="single" w:color="000000" w:sz="4" w:space="0"/>
              <w:bottom w:val="single" w:color="000000" w:sz="4" w:space="0"/>
              <w:right w:val="single" w:color="000000" w:sz="4" w:space="0"/>
            </w:tcBorders>
            <w:vAlign w:val="center"/>
          </w:tcPr>
          <w:p w14:paraId="7B17F18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cs="Arial"/>
                <w:sz w:val="18"/>
                <w:szCs w:val="18"/>
              </w:rPr>
              <w:t>Carolina Ferraz Morais</w:t>
            </w:r>
          </w:p>
        </w:tc>
      </w:tr>
      <w:tr w14:paraId="3EAC68DC">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504F2063">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CATRANS</w:t>
            </w:r>
          </w:p>
        </w:tc>
        <w:tc>
          <w:tcPr>
            <w:tcW w:w="4326" w:type="dxa"/>
            <w:tcBorders>
              <w:top w:val="single" w:color="000000" w:sz="4" w:space="0"/>
              <w:left w:val="single" w:color="000000" w:sz="4" w:space="0"/>
              <w:bottom w:val="single" w:color="000000" w:sz="4" w:space="0"/>
              <w:right w:val="single" w:color="000000" w:sz="4" w:space="0"/>
            </w:tcBorders>
            <w:vAlign w:val="center"/>
          </w:tcPr>
          <w:p w14:paraId="75C2E9F4">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Rogério Werneck Athouguia</w:t>
            </w:r>
          </w:p>
        </w:tc>
      </w:tr>
      <w:tr w14:paraId="2C30C6F4">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508149F9">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Desenvolvimento Social</w:t>
            </w:r>
          </w:p>
        </w:tc>
        <w:tc>
          <w:tcPr>
            <w:tcW w:w="4326" w:type="dxa"/>
            <w:tcBorders>
              <w:top w:val="single" w:color="000000" w:sz="4" w:space="0"/>
              <w:left w:val="single" w:color="000000" w:sz="4" w:space="0"/>
              <w:bottom w:val="single" w:color="000000" w:sz="4" w:space="0"/>
              <w:right w:val="single" w:color="000000" w:sz="4" w:space="0"/>
            </w:tcBorders>
            <w:vAlign w:val="center"/>
          </w:tcPr>
          <w:p w14:paraId="409DDE54">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Carla da Rocha Patrício</w:t>
            </w:r>
          </w:p>
        </w:tc>
      </w:tr>
      <w:tr w14:paraId="766AEBDD">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0B54EA88">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Fazenda</w:t>
            </w:r>
          </w:p>
        </w:tc>
        <w:tc>
          <w:tcPr>
            <w:tcW w:w="4326" w:type="dxa"/>
            <w:tcBorders>
              <w:top w:val="single" w:color="000000" w:sz="4" w:space="0"/>
              <w:left w:val="single" w:color="000000" w:sz="4" w:space="0"/>
              <w:bottom w:val="single" w:color="000000" w:sz="4" w:space="0"/>
              <w:right w:val="single" w:color="000000" w:sz="4" w:space="0"/>
            </w:tcBorders>
            <w:vAlign w:val="center"/>
          </w:tcPr>
          <w:p w14:paraId="39B1F018">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Tábatha Moreira Grôpo </w:t>
            </w:r>
          </w:p>
        </w:tc>
      </w:tr>
      <w:tr w14:paraId="74278F02">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6D81877D">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Educação</w:t>
            </w:r>
          </w:p>
        </w:tc>
        <w:tc>
          <w:tcPr>
            <w:tcW w:w="4326" w:type="dxa"/>
            <w:tcBorders>
              <w:top w:val="single" w:color="000000" w:sz="4" w:space="0"/>
              <w:left w:val="single" w:color="000000" w:sz="4" w:space="0"/>
              <w:bottom w:val="single" w:color="000000" w:sz="4" w:space="0"/>
              <w:right w:val="single" w:color="000000" w:sz="4" w:space="0"/>
            </w:tcBorders>
            <w:vAlign w:val="center"/>
          </w:tcPr>
          <w:p w14:paraId="739DADE2">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Ricardo Luiz de Almeida </w:t>
            </w:r>
          </w:p>
        </w:tc>
      </w:tr>
      <w:tr w14:paraId="018D7454">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107837E2">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Secretaria de Serviços Urbanos</w:t>
            </w:r>
          </w:p>
        </w:tc>
        <w:tc>
          <w:tcPr>
            <w:tcW w:w="4326" w:type="dxa"/>
            <w:tcBorders>
              <w:top w:val="single" w:color="000000" w:sz="4" w:space="0"/>
              <w:left w:val="single" w:color="000000" w:sz="4" w:space="0"/>
              <w:bottom w:val="single" w:color="000000" w:sz="4" w:space="0"/>
              <w:right w:val="single" w:color="000000" w:sz="4" w:space="0"/>
            </w:tcBorders>
            <w:vAlign w:val="center"/>
          </w:tcPr>
          <w:p w14:paraId="3F63F596">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Alessandro Cardoso Vieira</w:t>
            </w:r>
          </w:p>
        </w:tc>
      </w:tr>
      <w:tr w14:paraId="79052BB9">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45A26F7B">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Procuradoria</w:t>
            </w:r>
          </w:p>
        </w:tc>
        <w:tc>
          <w:tcPr>
            <w:tcW w:w="4326" w:type="dxa"/>
            <w:tcBorders>
              <w:top w:val="single" w:color="000000" w:sz="4" w:space="0"/>
              <w:left w:val="single" w:color="000000" w:sz="4" w:space="0"/>
              <w:bottom w:val="single" w:color="000000" w:sz="4" w:space="0"/>
              <w:right w:val="single" w:color="000000" w:sz="4" w:space="0"/>
            </w:tcBorders>
            <w:vAlign w:val="center"/>
          </w:tcPr>
          <w:p w14:paraId="4165517D">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Igor Victor Souza Costa</w:t>
            </w:r>
          </w:p>
        </w:tc>
      </w:tr>
    </w:tbl>
    <w:p w14:paraId="646D3384">
      <w:pPr>
        <w:pageBreakBefore w:val="0"/>
        <w:tabs>
          <w:tab w:val="left" w:pos="0"/>
          <w:tab w:val="left" w:pos="284"/>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eastAsiaTheme="minorHAnsi"/>
          <w:sz w:val="18"/>
          <w:szCs w:val="18"/>
        </w:rPr>
      </w:pPr>
      <w:r>
        <w:rPr>
          <w:rFonts w:hint="default" w:ascii="Arial" w:hAnsi="Arial" w:eastAsia="Times New Roman" w:cs="Arial"/>
          <w:b/>
          <w:sz w:val="18"/>
          <w:szCs w:val="18"/>
        </w:rPr>
        <w:t xml:space="preserve">8.1. </w:t>
      </w:r>
      <w:r>
        <w:rPr>
          <w:rFonts w:hint="default" w:ascii="Arial" w:hAnsi="Arial" w:eastAsia="Times New Roman" w:cs="Arial"/>
          <w:sz w:val="18"/>
          <w:szCs w:val="18"/>
        </w:rPr>
        <w:t xml:space="preserve"> </w:t>
      </w:r>
      <w:r>
        <w:rPr>
          <w:rFonts w:hint="default" w:ascii="Arial" w:hAnsi="Arial" w:cs="Arial" w:eastAsiaTheme="minorHAnsi"/>
          <w:color w:val="000000"/>
          <w:sz w:val="18"/>
          <w:szCs w:val="18"/>
        </w:rPr>
        <w:t xml:space="preserve">A execução da </w:t>
      </w:r>
      <w:r>
        <w:rPr>
          <w:rFonts w:hint="default" w:ascii="Arial" w:hAnsi="Arial" w:eastAsia="Times New Roman" w:cs="Arial"/>
          <w:color w:val="000000"/>
          <w:sz w:val="18"/>
          <w:szCs w:val="18"/>
        </w:rPr>
        <w:t>Ata de Registro de Preços</w:t>
      </w:r>
      <w:r>
        <w:rPr>
          <w:rFonts w:hint="default" w:ascii="Arial" w:hAnsi="Arial" w:cs="Arial" w:eastAsiaTheme="minorHAnsi"/>
          <w:color w:val="000000"/>
          <w:sz w:val="18"/>
          <w:szCs w:val="18"/>
        </w:rPr>
        <w:t xml:space="preserve"> deverá ser acompanhada e fiscalizada por servidores</w:t>
      </w:r>
      <w:r>
        <w:rPr>
          <w:rFonts w:hint="default" w:ascii="Arial" w:hAnsi="Arial" w:cs="Arial" w:eastAsiaTheme="minorHAnsi"/>
          <w:sz w:val="18"/>
          <w:szCs w:val="18"/>
        </w:rPr>
        <w:t xml:space="preserve"> nos termos estabelecidos no presente instrumento, a saber:</w:t>
      </w:r>
    </w:p>
    <w:p w14:paraId="7FFBFE9B">
      <w:pPr>
        <w:pageBreakBefore w:val="0"/>
        <w:tabs>
          <w:tab w:val="left" w:pos="0"/>
          <w:tab w:val="left" w:pos="284"/>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eastAsiaTheme="minorHAnsi"/>
          <w:bCs/>
          <w:color w:val="000000"/>
          <w:sz w:val="18"/>
          <w:szCs w:val="18"/>
        </w:rPr>
      </w:pPr>
      <w:r>
        <w:rPr>
          <w:rFonts w:hint="default" w:ascii="Arial" w:hAnsi="Arial" w:cs="Arial" w:eastAsiaTheme="minorHAnsi"/>
          <w:b/>
          <w:bCs/>
          <w:color w:val="000000"/>
          <w:sz w:val="18"/>
          <w:szCs w:val="18"/>
        </w:rPr>
        <w:t>8.2</w:t>
      </w:r>
      <w:r>
        <w:rPr>
          <w:rFonts w:hint="default" w:ascii="Arial" w:hAnsi="Arial" w:cs="Arial" w:eastAsiaTheme="minorHAnsi"/>
          <w:bCs/>
          <w:color w:val="000000"/>
          <w:sz w:val="18"/>
          <w:szCs w:val="18"/>
        </w:rPr>
        <w:t xml:space="preserve"> Fica o CONTRATADO obrigado a permitir e facilitar, a qualquer tempo, a fiscalização dos itens adquiridos, facultando o livre acesso a todos os registros e documentos pertinentes, sem que essa fiscalização importe, a qualquer título, em transferência de responsabilidade para a CONTRATANTE. </w:t>
      </w:r>
    </w:p>
    <w:p w14:paraId="4E0B37C0">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eastAsiaTheme="minorHAnsi"/>
          <w:color w:val="000000"/>
          <w:sz w:val="18"/>
          <w:szCs w:val="18"/>
        </w:rPr>
      </w:pPr>
      <w:r>
        <w:rPr>
          <w:rFonts w:hint="default" w:ascii="Arial" w:hAnsi="Arial" w:cs="Arial" w:eastAsiaTheme="minorHAnsi"/>
          <w:b/>
          <w:bCs/>
          <w:color w:val="000000"/>
          <w:sz w:val="18"/>
          <w:szCs w:val="18"/>
        </w:rPr>
        <w:t>8.3</w:t>
      </w:r>
      <w:r>
        <w:rPr>
          <w:rFonts w:hint="default" w:ascii="Arial" w:hAnsi="Arial" w:cs="Arial" w:eastAsiaTheme="minorHAnsi"/>
          <w:color w:val="000000"/>
          <w:sz w:val="18"/>
          <w:szCs w:val="18"/>
        </w:rPr>
        <w:t xml:space="preserve">. A fiscalização ou acompanhamento da </w:t>
      </w:r>
      <w:r>
        <w:rPr>
          <w:rFonts w:hint="default" w:ascii="Arial" w:hAnsi="Arial" w:eastAsia="Times New Roman" w:cs="Arial"/>
          <w:color w:val="000000"/>
          <w:sz w:val="18"/>
          <w:szCs w:val="18"/>
        </w:rPr>
        <w:t xml:space="preserve">Ata de Registro de Preços </w:t>
      </w:r>
      <w:r>
        <w:rPr>
          <w:rFonts w:hint="default" w:ascii="Arial" w:hAnsi="Arial" w:cs="Arial" w:eastAsiaTheme="minorHAnsi"/>
          <w:color w:val="000000"/>
          <w:sz w:val="18"/>
          <w:szCs w:val="18"/>
        </w:rPr>
        <w:t>pela Administração não excluiu ou reduz a responsabilidade do contratado.</w:t>
      </w:r>
    </w:p>
    <w:p w14:paraId="00FE1645">
      <w:pPr>
        <w:pStyle w:val="223"/>
        <w:pageBreakBefore w:val="0"/>
        <w:widowControl w:val="0"/>
        <w:tabs>
          <w:tab w:val="left" w:pos="565"/>
        </w:tabs>
        <w:kinsoku/>
        <w:wordWrap/>
        <w:overflowPunct/>
        <w:topLinePunct w:val="0"/>
        <w:autoSpaceDE w:val="0"/>
        <w:autoSpaceDN w:val="0"/>
        <w:bidi w:val="0"/>
        <w:snapToGrid/>
        <w:spacing w:beforeAutospacing="0" w:after="0" w:afterAutospacing="0" w:line="360" w:lineRule="auto"/>
        <w:ind w:left="0" w:leftChars="0" w:right="0" w:firstLine="0" w:firstLineChars="0"/>
        <w:contextualSpacing w:val="0"/>
        <w:jc w:val="both"/>
        <w:textAlignment w:val="auto"/>
        <w:rPr>
          <w:rFonts w:hint="default" w:ascii="Arial" w:hAnsi="Arial" w:cs="Arial"/>
          <w:sz w:val="18"/>
          <w:szCs w:val="18"/>
        </w:rPr>
      </w:pPr>
      <w:r>
        <w:rPr>
          <w:rFonts w:hint="default" w:ascii="Arial" w:hAnsi="Arial" w:cs="Arial"/>
          <w:b/>
          <w:sz w:val="18"/>
          <w:szCs w:val="18"/>
        </w:rPr>
        <w:t>8.4.</w:t>
      </w:r>
      <w:r>
        <w:rPr>
          <w:rFonts w:hint="default" w:ascii="Arial" w:hAnsi="Arial" w:cs="Arial"/>
          <w:sz w:val="18"/>
          <w:szCs w:val="18"/>
        </w:rPr>
        <w:t xml:space="preserve">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Ata</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eastAsia="Times New Roman" w:cs="Arial"/>
          <w:color w:val="000000"/>
          <w:sz w:val="18"/>
          <w:szCs w:val="18"/>
        </w:rPr>
        <w:t>Ata de Registro de Preços</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da Ata,</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3E9281E9">
      <w:pPr>
        <w:pStyle w:val="223"/>
        <w:pageBreakBefore w:val="0"/>
        <w:widowControl w:val="0"/>
        <w:tabs>
          <w:tab w:val="left" w:pos="565"/>
        </w:tabs>
        <w:kinsoku/>
        <w:wordWrap/>
        <w:overflowPunct/>
        <w:topLinePunct w:val="0"/>
        <w:autoSpaceDE w:val="0"/>
        <w:autoSpaceDN w:val="0"/>
        <w:bidi w:val="0"/>
        <w:snapToGrid/>
        <w:spacing w:beforeAutospacing="0" w:after="0" w:afterAutospacing="0" w:line="360" w:lineRule="auto"/>
        <w:ind w:left="0" w:leftChars="0" w:right="0" w:firstLine="0" w:firstLineChars="0"/>
        <w:contextualSpacing w:val="0"/>
        <w:jc w:val="both"/>
        <w:textAlignment w:val="auto"/>
        <w:rPr>
          <w:rFonts w:hint="default" w:ascii="Arial" w:hAnsi="Arial" w:cs="Arial"/>
          <w:sz w:val="18"/>
          <w:szCs w:val="18"/>
        </w:rPr>
      </w:pPr>
      <w:r>
        <w:rPr>
          <w:rFonts w:hint="default" w:ascii="Arial" w:hAnsi="Arial" w:cs="Arial"/>
          <w:b/>
          <w:sz w:val="18"/>
          <w:szCs w:val="18"/>
        </w:rPr>
        <w:t>8.5.</w:t>
      </w:r>
      <w:r>
        <w:rPr>
          <w:rFonts w:hint="default" w:ascii="Arial" w:hAnsi="Arial" w:cs="Arial"/>
          <w:sz w:val="18"/>
          <w:szCs w:val="18"/>
        </w:rPr>
        <w:t xml:space="preserve"> Compete ao Fiscal da Ata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procedência da prestação do </w:t>
      </w:r>
      <w:r>
        <w:rPr>
          <w:rFonts w:hint="default" w:ascii="Arial" w:hAnsi="Arial" w:cs="Arial"/>
          <w:spacing w:val="-59"/>
          <w:sz w:val="18"/>
          <w:szCs w:val="18"/>
        </w:rPr>
        <w:t xml:space="preserve"> </w:t>
      </w:r>
      <w:r>
        <w:rPr>
          <w:rFonts w:hint="default" w:ascii="Arial" w:hAnsi="Arial" w:cs="Arial"/>
          <w:sz w:val="18"/>
          <w:szCs w:val="18"/>
        </w:rPr>
        <w:t xml:space="preserve">objeto respectivo, encaminhar informações ao gestor da </w:t>
      </w:r>
      <w:r>
        <w:rPr>
          <w:rFonts w:hint="default" w:ascii="Arial" w:hAnsi="Arial" w:eastAsia="Times New Roman" w:cs="Arial"/>
          <w:color w:val="000000"/>
          <w:sz w:val="18"/>
          <w:szCs w:val="18"/>
        </w:rPr>
        <w:t>Ata de Registro de Preços,</w:t>
      </w:r>
      <w:r>
        <w:rPr>
          <w:rFonts w:hint="default" w:ascii="Arial" w:hAnsi="Arial" w:cs="Arial"/>
          <w:sz w:val="18"/>
          <w:szCs w:val="18"/>
        </w:rPr>
        <w:t>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da</w:t>
      </w:r>
      <w:r>
        <w:rPr>
          <w:rFonts w:hint="default" w:ascii="Arial" w:hAnsi="Arial" w:cs="Arial"/>
          <w:spacing w:val="-1"/>
          <w:sz w:val="18"/>
          <w:szCs w:val="18"/>
        </w:rPr>
        <w:t xml:space="preserve"> </w:t>
      </w:r>
      <w:r>
        <w:rPr>
          <w:rFonts w:hint="default" w:ascii="Arial" w:hAnsi="Arial" w:cs="Arial"/>
          <w:sz w:val="18"/>
          <w:szCs w:val="18"/>
        </w:rPr>
        <w:t>Ata.</w:t>
      </w:r>
    </w:p>
    <w:p w14:paraId="3EDE400B">
      <w:pPr>
        <w:pStyle w:val="223"/>
        <w:pageBreakBefore w:val="0"/>
        <w:widowControl w:val="0"/>
        <w:tabs>
          <w:tab w:val="left" w:pos="565"/>
        </w:tabs>
        <w:kinsoku/>
        <w:wordWrap/>
        <w:overflowPunct/>
        <w:topLinePunct w:val="0"/>
        <w:autoSpaceDE w:val="0"/>
        <w:autoSpaceDN w:val="0"/>
        <w:bidi w:val="0"/>
        <w:snapToGrid/>
        <w:spacing w:beforeAutospacing="0" w:after="0" w:afterAutospacing="0" w:line="360" w:lineRule="auto"/>
        <w:ind w:left="0" w:leftChars="0" w:right="0" w:firstLine="0" w:firstLineChars="0"/>
        <w:contextualSpacing w:val="0"/>
        <w:jc w:val="both"/>
        <w:textAlignment w:val="auto"/>
        <w:rPr>
          <w:rFonts w:hint="default" w:ascii="Arial" w:hAnsi="Arial" w:cs="Arial"/>
          <w:sz w:val="18"/>
          <w:szCs w:val="18"/>
        </w:rPr>
      </w:pPr>
      <w:r>
        <w:rPr>
          <w:rFonts w:hint="default" w:ascii="Arial" w:hAnsi="Arial" w:cs="Arial"/>
          <w:b/>
          <w:sz w:val="18"/>
          <w:szCs w:val="18"/>
        </w:rPr>
        <w:t>8.6.</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 xml:space="preserve">da </w:t>
      </w:r>
      <w:r>
        <w:rPr>
          <w:rFonts w:hint="default" w:ascii="Arial" w:hAnsi="Arial" w:eastAsia="Times New Roman" w:cs="Arial"/>
          <w:color w:val="000000"/>
          <w:sz w:val="18"/>
          <w:szCs w:val="18"/>
        </w:rPr>
        <w:t>Ata de Registro de Preços,</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da Ata,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1B603C07">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cs="Arial"/>
          <w:b/>
          <w:sz w:val="18"/>
          <w:szCs w:val="18"/>
        </w:rPr>
        <w:t>8.7.</w:t>
      </w:r>
      <w:r>
        <w:rPr>
          <w:rFonts w:hint="default" w:ascii="Arial" w:hAnsi="Arial" w:cs="Arial"/>
          <w:sz w:val="18"/>
          <w:szCs w:val="18"/>
        </w:rPr>
        <w:t xml:space="preserve">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Federal nº 14.133/2021.</w:t>
      </w:r>
    </w:p>
    <w:p w14:paraId="6981F3A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p>
    <w:p w14:paraId="2AE3E254">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9. CRITÉRIOS DE MEDIÇÃO E PAGAMENTO</w:t>
      </w:r>
    </w:p>
    <w:p w14:paraId="715BD9F5">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9.1 RECEBIMENTO</w:t>
      </w:r>
    </w:p>
    <w:p w14:paraId="2D51740F">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9.1.1.</w:t>
      </w:r>
      <w:r>
        <w:rPr>
          <w:rFonts w:hint="default" w:ascii="Arial" w:hAnsi="Arial" w:cs="Arial"/>
          <w:color w:val="auto"/>
          <w:sz w:val="18"/>
          <w:szCs w:val="18"/>
        </w:rPr>
        <w:t xml:space="preserve"> Os itens serão aceitos provisoriamente, de forma sumária, no ato da entrega,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7F3A5C3D">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9.1.2.</w:t>
      </w:r>
      <w:r>
        <w:rPr>
          <w:rFonts w:hint="default" w:ascii="Arial" w:hAnsi="Arial" w:cs="Arial"/>
          <w:color w:val="auto"/>
          <w:sz w:val="18"/>
          <w:szCs w:val="18"/>
        </w:rPr>
        <w:t xml:space="preserve"> </w:t>
      </w:r>
      <w:r>
        <w:rPr>
          <w:rFonts w:hint="default" w:ascii="Arial" w:hAnsi="Arial" w:cs="Arial"/>
          <w:sz w:val="18"/>
          <w:szCs w:val="18"/>
        </w:rPr>
        <w:t>A entrega será realizada de forma parcelada, conforme a demanda da Administração</w:t>
      </w:r>
      <w:r>
        <w:rPr>
          <w:rFonts w:hint="default" w:ascii="Arial" w:hAnsi="Arial" w:cs="Arial"/>
          <w:color w:val="auto"/>
          <w:sz w:val="18"/>
          <w:szCs w:val="18"/>
        </w:rPr>
        <w:t>.</w:t>
      </w:r>
    </w:p>
    <w:p w14:paraId="13E25C8D">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9.2. LIQUIDAÇÃO</w:t>
      </w:r>
    </w:p>
    <w:p w14:paraId="602B6E5B">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9.2.1.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3FF4EC5A">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9.2.3.</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0DDE9310">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9.3. PAGAMENTO</w:t>
      </w:r>
    </w:p>
    <w:p w14:paraId="207FCA1A">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9.3.1.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399BE4DE">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p>
    <w:p w14:paraId="64136D87">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10.  FORMA E CRITÉRIOS DE SELEÇÃO DO FORNECEDOR</w:t>
      </w:r>
    </w:p>
    <w:p w14:paraId="16F07AB1">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10.1.</w:t>
      </w:r>
      <w:r>
        <w:rPr>
          <w:rFonts w:hint="default" w:ascii="Arial" w:hAnsi="Arial" w:cs="Arial"/>
          <w:color w:val="auto"/>
          <w:sz w:val="18"/>
          <w:szCs w:val="18"/>
        </w:rPr>
        <w:t xml:space="preserve"> O fornecedor será selecionado por meio da realização de procedimento de </w:t>
      </w:r>
      <w:r>
        <w:rPr>
          <w:rFonts w:hint="default" w:ascii="Arial" w:hAnsi="Arial" w:cs="Arial"/>
          <w:b/>
          <w:color w:val="auto"/>
          <w:sz w:val="18"/>
          <w:szCs w:val="18"/>
        </w:rPr>
        <w:t>REGISTRO DE PREÇOS</w:t>
      </w:r>
      <w:r>
        <w:rPr>
          <w:rFonts w:hint="default" w:ascii="Arial" w:hAnsi="Arial" w:cs="Arial"/>
          <w:color w:val="auto"/>
          <w:sz w:val="18"/>
          <w:szCs w:val="18"/>
        </w:rPr>
        <w:t xml:space="preserve">, na modalidade </w:t>
      </w:r>
      <w:r>
        <w:rPr>
          <w:rFonts w:hint="default" w:ascii="Arial" w:hAnsi="Arial" w:cs="Arial"/>
          <w:b/>
          <w:color w:val="auto"/>
          <w:sz w:val="18"/>
          <w:szCs w:val="18"/>
        </w:rPr>
        <w:t>PREGÃO</w:t>
      </w:r>
      <w:r>
        <w:rPr>
          <w:rFonts w:hint="default" w:ascii="Arial" w:hAnsi="Arial" w:cs="Arial"/>
          <w:color w:val="auto"/>
          <w:sz w:val="18"/>
          <w:szCs w:val="18"/>
        </w:rPr>
        <w:t xml:space="preserve">, sob a forma </w:t>
      </w:r>
      <w:r>
        <w:rPr>
          <w:rFonts w:hint="default" w:ascii="Arial" w:hAnsi="Arial" w:cs="Arial"/>
          <w:b/>
          <w:color w:val="auto"/>
          <w:sz w:val="18"/>
          <w:szCs w:val="18"/>
        </w:rPr>
        <w:t>ELETRÔNICA,</w:t>
      </w:r>
      <w:r>
        <w:rPr>
          <w:rFonts w:hint="default" w:ascii="Arial" w:hAnsi="Arial" w:cs="Arial"/>
          <w:color w:val="auto"/>
          <w:sz w:val="18"/>
          <w:szCs w:val="18"/>
        </w:rPr>
        <w:t xml:space="preserve"> com adoção do critério de julgamento pelo </w:t>
      </w:r>
      <w:r>
        <w:rPr>
          <w:rFonts w:hint="default" w:ascii="Arial" w:hAnsi="Arial" w:cs="Arial"/>
          <w:b/>
          <w:color w:val="auto"/>
          <w:sz w:val="18"/>
          <w:szCs w:val="18"/>
        </w:rPr>
        <w:t>MENOR PREÇO POR LOTE</w:t>
      </w:r>
      <w:r>
        <w:rPr>
          <w:rFonts w:hint="default" w:ascii="Arial" w:hAnsi="Arial" w:cs="Arial"/>
          <w:color w:val="auto"/>
          <w:sz w:val="18"/>
          <w:szCs w:val="18"/>
        </w:rPr>
        <w:t>, de forma parcelada, com base nos parâmetros  da Lei Federal nº 14.133/21.</w:t>
      </w:r>
    </w:p>
    <w:p w14:paraId="6C84DD47">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p>
    <w:p w14:paraId="007B3365">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11.  DA HABILITAÇÃO JURÍDICA, FISCAL, SOCIAL, TRABALHISTA E ECONÔMICO-FINANCEIRA.</w:t>
      </w:r>
    </w:p>
    <w:p w14:paraId="5E78E632">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11.1. </w:t>
      </w:r>
      <w:r>
        <w:rPr>
          <w:rFonts w:hint="default" w:ascii="Arial" w:hAnsi="Arial" w:eastAsia="Times New Roman" w:cs="Arial"/>
          <w:sz w:val="18"/>
          <w:szCs w:val="18"/>
        </w:rPr>
        <w:t>Os documentos necessários para habilitação dos licitantes se encontrarão descritos em tópico específico contido no edital.</w:t>
      </w:r>
    </w:p>
    <w:p w14:paraId="1C688818">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p>
    <w:p w14:paraId="7800D31E">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p>
    <w:p w14:paraId="1CA87882">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12. DA QUALIFICAÇÃO TÉCNICA</w:t>
      </w:r>
    </w:p>
    <w:p w14:paraId="4D5EC354">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12.1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hint="default" w:ascii="Arial" w:hAnsi="Arial" w:eastAsia="Times New Roman" w:cs="Arial"/>
          <w:color w:val="000000"/>
          <w:sz w:val="18"/>
          <w:szCs w:val="18"/>
        </w:rPr>
        <w:t>.</w:t>
      </w:r>
    </w:p>
    <w:p w14:paraId="3BC48AB6">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rPr>
      </w:pPr>
    </w:p>
    <w:p w14:paraId="5330CE02">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13. ESTIMATIVA DO VALOR DA CONTRATAÇÃO</w:t>
      </w:r>
    </w:p>
    <w:p w14:paraId="28E1407C">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eastAsia="Times New Roman" w:cs="Arial"/>
          <w:b/>
          <w:color w:val="000000"/>
          <w:sz w:val="18"/>
          <w:szCs w:val="18"/>
        </w:rPr>
        <w:t xml:space="preserve">13.1. </w:t>
      </w:r>
      <w:r>
        <w:rPr>
          <w:rFonts w:hint="default" w:ascii="Arial" w:hAnsi="Arial" w:eastAsia="Arial" w:cs="Arial"/>
          <w:sz w:val="18"/>
          <w:szCs w:val="18"/>
        </w:rPr>
        <w:t xml:space="preserve">A pesquisa de preços foi realizada em conformidade com o art. 23, §1º, inciso IV da Lei Federal nº 14.133/21, regulamentado pela IN 65/2021. Para a cotação foi consultado o Painel de Preços do site </w:t>
      </w:r>
      <w:r>
        <w:rPr>
          <w:rFonts w:hint="default" w:ascii="Arial" w:hAnsi="Arial" w:cs="Arial"/>
          <w:sz w:val="18"/>
          <w:szCs w:val="18"/>
        </w:rPr>
        <w:fldChar w:fldCharType="begin"/>
      </w:r>
      <w:r>
        <w:rPr>
          <w:rFonts w:hint="default" w:ascii="Arial" w:hAnsi="Arial" w:cs="Arial"/>
          <w:sz w:val="18"/>
          <w:szCs w:val="18"/>
        </w:rPr>
        <w:instrText xml:space="preserve"> HYPERLINK "https://www.bancodeprecos.com.br/" \h </w:instrText>
      </w:r>
      <w:r>
        <w:rPr>
          <w:rFonts w:hint="default" w:ascii="Arial" w:hAnsi="Arial" w:cs="Arial"/>
          <w:sz w:val="18"/>
          <w:szCs w:val="18"/>
        </w:rPr>
        <w:fldChar w:fldCharType="separate"/>
      </w:r>
      <w:r>
        <w:rPr>
          <w:rFonts w:hint="default" w:ascii="Arial" w:hAnsi="Arial" w:eastAsia="Arial" w:cs="Arial"/>
          <w:color w:val="1155CC"/>
          <w:sz w:val="18"/>
          <w:szCs w:val="18"/>
          <w:u w:val="single"/>
        </w:rPr>
        <w:t>https://www.bancodeprecos.com.br/</w:t>
      </w:r>
      <w:r>
        <w:rPr>
          <w:rFonts w:hint="default" w:ascii="Arial" w:hAnsi="Arial" w:eastAsia="Arial" w:cs="Arial"/>
          <w:color w:val="1155CC"/>
          <w:sz w:val="18"/>
          <w:szCs w:val="18"/>
          <w:u w:val="single"/>
        </w:rPr>
        <w:fldChar w:fldCharType="end"/>
      </w:r>
      <w:r>
        <w:rPr>
          <w:rFonts w:hint="default" w:ascii="Arial" w:hAnsi="Arial" w:cs="Arial"/>
          <w:sz w:val="18"/>
          <w:szCs w:val="18"/>
        </w:rPr>
        <w:t xml:space="preserve"> </w:t>
      </w:r>
      <w:r>
        <w:rPr>
          <w:rFonts w:hint="default" w:ascii="Arial" w:hAnsi="Arial" w:eastAsia="Arial" w:cs="Arial"/>
          <w:sz w:val="18"/>
          <w:szCs w:val="18"/>
        </w:rPr>
        <w:t>,  utilizando como cálculo a média aritmética dos preços obtidos.</w:t>
      </w:r>
    </w:p>
    <w:p w14:paraId="247FF68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themeColor="text1"/>
          <w:sz w:val="18"/>
          <w:szCs w:val="18"/>
          <w14:textFill>
            <w14:solidFill>
              <w14:schemeClr w14:val="tx1"/>
            </w14:solidFill>
          </w14:textFill>
        </w:rPr>
      </w:pPr>
      <w:r>
        <w:rPr>
          <w:rFonts w:hint="default" w:ascii="Arial" w:hAnsi="Arial" w:eastAsia="Arial" w:cs="Arial"/>
          <w:b/>
          <w:sz w:val="18"/>
          <w:szCs w:val="18"/>
        </w:rPr>
        <w:t>13.2.</w:t>
      </w:r>
      <w:r>
        <w:rPr>
          <w:rFonts w:hint="default" w:ascii="Arial" w:hAnsi="Arial" w:eastAsia="Arial" w:cs="Arial"/>
          <w:sz w:val="18"/>
          <w:szCs w:val="18"/>
        </w:rPr>
        <w:t xml:space="preserve"> Dessa forma, considerando as quantidades pretendidas, a aquisição terá o valor estimado de </w:t>
      </w:r>
      <w:r>
        <w:rPr>
          <w:rFonts w:hint="default" w:ascii="Arial" w:hAnsi="Arial" w:eastAsia="Arial" w:cs="Arial"/>
          <w:b/>
          <w:color w:val="000000" w:themeColor="text1"/>
          <w:sz w:val="18"/>
          <w:szCs w:val="18"/>
          <w14:textFill>
            <w14:solidFill>
              <w14:schemeClr w14:val="tx1"/>
            </w14:solidFill>
          </w14:textFill>
        </w:rPr>
        <w:t xml:space="preserve">R$ </w:t>
      </w:r>
      <w:r>
        <w:rPr>
          <w:rFonts w:hint="default" w:ascii="Arial" w:hAnsi="Arial" w:eastAsia="SimSun" w:cs="Arial"/>
          <w:b/>
          <w:bCs/>
          <w:sz w:val="18"/>
          <w:szCs w:val="18"/>
        </w:rPr>
        <w:t>72.822,58</w:t>
      </w:r>
      <w:r>
        <w:rPr>
          <w:rFonts w:hint="default" w:ascii="Arial" w:hAnsi="Arial" w:eastAsia="Arial" w:cs="Arial"/>
          <w:b/>
          <w:color w:val="000000" w:themeColor="text1"/>
          <w:sz w:val="18"/>
          <w:szCs w:val="18"/>
          <w14:textFill>
            <w14:solidFill>
              <w14:schemeClr w14:val="tx1"/>
            </w14:solidFill>
          </w14:textFill>
        </w:rPr>
        <w:t xml:space="preserve"> (setenta e dois mil, oitocentos e vinte e dois reais e cinquenta e oito centavos)</w:t>
      </w:r>
      <w:r>
        <w:rPr>
          <w:rFonts w:hint="default" w:ascii="Arial" w:hAnsi="Arial" w:eastAsia="Times New Roman" w:cs="Arial"/>
          <w:b/>
          <w:color w:val="000000" w:themeColor="text1"/>
          <w:sz w:val="18"/>
          <w:szCs w:val="18"/>
          <w14:textFill>
            <w14:solidFill>
              <w14:schemeClr w14:val="tx1"/>
            </w14:solidFill>
          </w14:textFill>
        </w:rPr>
        <w:t>.</w:t>
      </w:r>
    </w:p>
    <w:p w14:paraId="6CC28049">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13.3.</w:t>
      </w:r>
      <w:r>
        <w:rPr>
          <w:rFonts w:hint="default" w:ascii="Arial" w:hAnsi="Arial" w:eastAsia="Times New Roman" w:cs="Arial"/>
          <w:sz w:val="18"/>
          <w:szCs w:val="18"/>
        </w:rPr>
        <w:t xml:space="preserve"> As memórias de cálculo e os documentos que dão suporte à estimativa estão presentes nesteTermo de Referência.</w:t>
      </w:r>
    </w:p>
    <w:p w14:paraId="760B2275">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13.4.</w:t>
      </w:r>
      <w:r>
        <w:rPr>
          <w:rFonts w:hint="default" w:ascii="Arial" w:hAnsi="Arial" w:eastAsia="Times New Roman"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055AB8A">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p>
    <w:p w14:paraId="4F9919AC">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14.  DO QUANTITATIVO MÍNIMO</w:t>
      </w:r>
    </w:p>
    <w:p w14:paraId="3D6C765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Cs/>
          <w:sz w:val="18"/>
          <w:szCs w:val="18"/>
        </w:rPr>
      </w:pPr>
      <w:r>
        <w:rPr>
          <w:rFonts w:hint="default" w:ascii="Arial" w:hAnsi="Arial" w:cs="Arial"/>
          <w:b/>
          <w:bCs/>
          <w:sz w:val="18"/>
          <w:szCs w:val="18"/>
        </w:rPr>
        <w:t>14.1.</w:t>
      </w:r>
      <w:r>
        <w:rPr>
          <w:rFonts w:hint="default" w:ascii="Arial" w:hAnsi="Arial" w:cs="Arial"/>
          <w:bCs/>
          <w:sz w:val="18"/>
          <w:szCs w:val="18"/>
        </w:rPr>
        <w:t xml:space="preserve"> 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5F8FAED2">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Cs/>
          <w:sz w:val="18"/>
          <w:szCs w:val="18"/>
        </w:rPr>
      </w:pPr>
    </w:p>
    <w:p w14:paraId="7D6419AC">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15. DA VIGÊNCIA</w:t>
      </w:r>
    </w:p>
    <w:p w14:paraId="1A634813">
      <w:pPr>
        <w:pStyle w:val="223"/>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 xml:space="preserve">15.1. </w:t>
      </w:r>
      <w:r>
        <w:rPr>
          <w:rFonts w:hint="default" w:ascii="Arial" w:hAnsi="Arial" w:cs="Arial"/>
          <w:sz w:val="18"/>
          <w:szCs w:val="18"/>
        </w:rPr>
        <w:t>O prazo de vigência da contratação será de 12 (doze) meses a contar da data de homologação, podendo ser prorrogado , de acordo com a Lei vigente.</w:t>
      </w:r>
    </w:p>
    <w:p w14:paraId="7F2F95FF">
      <w:pPr>
        <w:pStyle w:val="223"/>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p>
    <w:p w14:paraId="0BA9C4D2">
      <w:pPr>
        <w:pageBreakBefore w:val="0"/>
        <w:shd w:val="clear" w:color="auto" w:fill="FFFFFF"/>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cs="Arial"/>
          <w:b/>
          <w:sz w:val="18"/>
          <w:szCs w:val="18"/>
        </w:rPr>
        <w:t>16.</w:t>
      </w:r>
      <w:r>
        <w:rPr>
          <w:rFonts w:hint="default" w:ascii="Arial" w:hAnsi="Arial" w:cs="Arial"/>
          <w:sz w:val="18"/>
          <w:szCs w:val="18"/>
        </w:rPr>
        <w:t xml:space="preserve"> </w:t>
      </w:r>
      <w:r>
        <w:rPr>
          <w:rFonts w:hint="default" w:ascii="Arial" w:hAnsi="Arial" w:eastAsia="Times New Roman" w:cs="Arial"/>
          <w:b/>
          <w:bCs/>
          <w:sz w:val="18"/>
          <w:szCs w:val="18"/>
        </w:rPr>
        <w:t>DAS SANÇÕES</w:t>
      </w:r>
    </w:p>
    <w:p w14:paraId="08E0A970">
      <w:pPr>
        <w:pStyle w:val="223"/>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eastAsia="Times New Roman" w:cs="Arial"/>
          <w:b/>
          <w:bCs/>
          <w:sz w:val="18"/>
          <w:szCs w:val="18"/>
        </w:rPr>
        <w:t>16.1.</w:t>
      </w:r>
      <w:r>
        <w:rPr>
          <w:rFonts w:hint="default" w:ascii="Arial" w:hAnsi="Arial" w:eastAsia="Times New Roman" w:cs="Arial"/>
          <w:sz w:val="18"/>
          <w:szCs w:val="18"/>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0BFD26BD">
      <w:pPr>
        <w:pStyle w:val="223"/>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p>
    <w:p w14:paraId="0C9E646E">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17.  ADEQUAÇÃO ORÇAMENTÁRIA</w:t>
      </w:r>
    </w:p>
    <w:p w14:paraId="12368B6A">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cs="Arial"/>
          <w:b/>
          <w:sz w:val="18"/>
          <w:szCs w:val="18"/>
        </w:rPr>
        <w:t>17.1.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tbl>
      <w:tblPr>
        <w:tblStyle w:val="6"/>
        <w:tblpPr w:leftFromText="180" w:rightFromText="180" w:vertAnchor="text" w:horzAnchor="page" w:tblpXSpec="center" w:tblpY="40"/>
        <w:tblOverlap w:val="never"/>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006A5B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DA46F33">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SECRETARIA/SETOR</w:t>
            </w:r>
          </w:p>
        </w:tc>
        <w:tc>
          <w:tcPr>
            <w:tcW w:w="4604" w:type="dxa"/>
            <w:vAlign w:val="center"/>
          </w:tcPr>
          <w:p w14:paraId="5AAF1A93">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CENTRO DE CUSTO</w:t>
            </w:r>
          </w:p>
        </w:tc>
      </w:tr>
      <w:tr w14:paraId="416C6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16ECAB1">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Fundo Municipal de Saúde</w:t>
            </w:r>
          </w:p>
        </w:tc>
        <w:tc>
          <w:tcPr>
            <w:tcW w:w="4604" w:type="dxa"/>
            <w:vAlign w:val="center"/>
          </w:tcPr>
          <w:p w14:paraId="616CA33F">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09</w:t>
            </w:r>
          </w:p>
        </w:tc>
      </w:tr>
      <w:tr w14:paraId="339614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42B7A7B3">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 de Agricultura e Meio Ambiente</w:t>
            </w:r>
          </w:p>
        </w:tc>
        <w:tc>
          <w:tcPr>
            <w:tcW w:w="4604" w:type="dxa"/>
            <w:vAlign w:val="center"/>
          </w:tcPr>
          <w:p w14:paraId="5FB2D5E4">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15</w:t>
            </w:r>
          </w:p>
        </w:tc>
      </w:tr>
      <w:tr w14:paraId="5F3443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305EDC3C">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 de Obras</w:t>
            </w:r>
          </w:p>
        </w:tc>
        <w:tc>
          <w:tcPr>
            <w:tcW w:w="4604" w:type="dxa"/>
            <w:vAlign w:val="center"/>
          </w:tcPr>
          <w:p w14:paraId="6C4AE956">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12</w:t>
            </w:r>
          </w:p>
        </w:tc>
      </w:tr>
      <w:tr w14:paraId="2BEC7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F67C558">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06064DCD">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16</w:t>
            </w:r>
          </w:p>
        </w:tc>
      </w:tr>
      <w:tr w14:paraId="6CADC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CA7CD6D">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63A38EBF">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2</w:t>
            </w:r>
          </w:p>
        </w:tc>
      </w:tr>
      <w:tr w14:paraId="1F389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72B7736">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vAlign w:val="center"/>
          </w:tcPr>
          <w:p w14:paraId="5722EF38">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11</w:t>
            </w:r>
          </w:p>
        </w:tc>
      </w:tr>
      <w:tr w14:paraId="11E322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6B6ECF8">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68F31776">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17</w:t>
            </w:r>
          </w:p>
        </w:tc>
      </w:tr>
      <w:tr w14:paraId="145A98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53A71EE">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7ADCCE01">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1</w:t>
            </w:r>
          </w:p>
        </w:tc>
      </w:tr>
      <w:tr w14:paraId="110FC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7E4368D">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37CBB615">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14</w:t>
            </w:r>
          </w:p>
        </w:tc>
      </w:tr>
      <w:tr w14:paraId="2DDC51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2E4F5CA">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043F625C">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7</w:t>
            </w:r>
          </w:p>
        </w:tc>
      </w:tr>
      <w:tr w14:paraId="77CE4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9BC0B77">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5D59C02C">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4</w:t>
            </w:r>
          </w:p>
        </w:tc>
      </w:tr>
      <w:tr w14:paraId="304F1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7C7AA09">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4945C5A7">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10</w:t>
            </w:r>
          </w:p>
        </w:tc>
      </w:tr>
      <w:tr w14:paraId="1BEBFA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BC6B714">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7DB7A54B">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13</w:t>
            </w:r>
          </w:p>
        </w:tc>
      </w:tr>
      <w:tr w14:paraId="74566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02E033E">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Procuradoria</w:t>
            </w:r>
          </w:p>
        </w:tc>
        <w:tc>
          <w:tcPr>
            <w:tcW w:w="4604" w:type="dxa"/>
            <w:tcBorders>
              <w:top w:val="single" w:color="000000" w:sz="4" w:space="0"/>
              <w:left w:val="single" w:color="000000" w:sz="4" w:space="0"/>
              <w:bottom w:val="single" w:color="000000" w:sz="4" w:space="0"/>
              <w:right w:val="single" w:color="000000" w:sz="4" w:space="0"/>
            </w:tcBorders>
            <w:vAlign w:val="center"/>
          </w:tcPr>
          <w:p w14:paraId="4ADB585A">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03</w:t>
            </w:r>
          </w:p>
        </w:tc>
      </w:tr>
    </w:tbl>
    <w:p w14:paraId="611B4E0F">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bCs/>
          <w:sz w:val="18"/>
          <w:szCs w:val="18"/>
        </w:rPr>
      </w:pPr>
    </w:p>
    <w:p w14:paraId="7D7BF19B">
      <w:pPr>
        <w:pageBreakBefore w:val="0"/>
        <w:kinsoku/>
        <w:wordWrap/>
        <w:overflowPunct/>
        <w:topLinePunct w:val="0"/>
        <w:bidi w:val="0"/>
        <w:snapToGrid/>
        <w:spacing w:beforeAutospacing="0" w:after="0" w:afterAutospacing="0" w:line="240" w:lineRule="auto"/>
        <w:ind w:left="0" w:leftChars="0" w:right="0" w:firstLine="0" w:firstLineChars="0"/>
        <w:jc w:val="both"/>
        <w:textAlignment w:val="auto"/>
        <w:rPr>
          <w:rFonts w:ascii="Arial" w:hAnsi="Arial" w:cs="Arial"/>
          <w:b/>
          <w:bCs/>
          <w:sz w:val="32"/>
          <w:szCs w:val="32"/>
        </w:rPr>
      </w:pPr>
      <w:r>
        <w:rPr>
          <w:rFonts w:hint="default" w:ascii="Arial" w:hAnsi="Arial" w:cs="Arial"/>
          <w:sz w:val="18"/>
          <w:szCs w:val="18"/>
        </w:rPr>
        <w:t xml:space="preserve">            </w:t>
      </w:r>
      <w:r>
        <w:rPr>
          <w:rFonts w:hint="default" w:ascii="Arial" w:hAnsi="Arial" w:eastAsia="Arial" w:cs="Arial"/>
          <w:sz w:val="18"/>
          <w:szCs w:val="18"/>
        </w:rPr>
        <w:t xml:space="preserve">                                                                               </w:t>
      </w:r>
      <w:r>
        <w:rPr>
          <w:rFonts w:ascii="Arial" w:hAnsi="Arial" w:cs="Arial"/>
          <w:b/>
          <w:sz w:val="32"/>
          <w:szCs w:val="32"/>
        </w:rPr>
        <w:t>ANEXO II</w:t>
      </w:r>
    </w:p>
    <w:p w14:paraId="4BAC6F3A">
      <w:pPr>
        <w:pStyle w:val="190"/>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150/2025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068/2025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068/2025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tabs>
          <w:tab w:val="left" w:pos="1440"/>
        </w:tabs>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05 de setembro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37ED60C8">
      <w:pPr>
        <w:spacing w:line="276" w:lineRule="auto"/>
        <w:ind w:left="-142"/>
        <w:rPr>
          <w:rFonts w:ascii="Arial" w:hAnsi="Arial" w:cs="Arial"/>
          <w:sz w:val="20"/>
          <w:szCs w:val="20"/>
        </w:rPr>
      </w:pPr>
    </w:p>
    <w:tbl>
      <w:tblPr>
        <w:tblStyle w:val="6"/>
        <w:tblpPr w:leftFromText="180" w:rightFromText="180" w:vertAnchor="text" w:horzAnchor="page" w:tblpXSpec="center" w:tblpY="1"/>
        <w:tblOverlap w:val="never"/>
        <w:tblW w:w="10002" w:type="dxa"/>
        <w:jc w:val="center"/>
        <w:tblLayout w:type="fixed"/>
        <w:tblCellMar>
          <w:top w:w="0" w:type="dxa"/>
          <w:left w:w="108" w:type="dxa"/>
          <w:bottom w:w="0" w:type="dxa"/>
          <w:right w:w="108" w:type="dxa"/>
        </w:tblCellMar>
      </w:tblPr>
      <w:tblGrid>
        <w:gridCol w:w="613"/>
        <w:gridCol w:w="3990"/>
        <w:gridCol w:w="825"/>
        <w:gridCol w:w="1006"/>
        <w:gridCol w:w="1155"/>
        <w:gridCol w:w="1155"/>
        <w:gridCol w:w="1258"/>
      </w:tblGrid>
      <w:tr w14:paraId="45401402">
        <w:tblPrEx>
          <w:tblCellMar>
            <w:top w:w="0" w:type="dxa"/>
            <w:left w:w="108" w:type="dxa"/>
            <w:bottom w:w="0" w:type="dxa"/>
            <w:right w:w="108" w:type="dxa"/>
          </w:tblCellMar>
        </w:tblPrEx>
        <w:trPr>
          <w:trHeight w:val="470" w:hRule="atLeast"/>
          <w:jc w:val="center"/>
        </w:trPr>
        <w:tc>
          <w:tcPr>
            <w:tcW w:w="10002" w:type="dxa"/>
            <w:gridSpan w:val="7"/>
            <w:tcBorders>
              <w:top w:val="single" w:color="000000" w:sz="4" w:space="0"/>
              <w:left w:val="single" w:color="000000" w:sz="4" w:space="0"/>
              <w:right w:val="single" w:color="000000" w:sz="4" w:space="0"/>
            </w:tcBorders>
            <w:shd w:val="clear" w:color="auto" w:fill="auto"/>
            <w:vAlign w:val="center"/>
          </w:tcPr>
          <w:p w14:paraId="734BDFD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01</w:t>
            </w:r>
          </w:p>
        </w:tc>
      </w:tr>
      <w:tr w14:paraId="5D8B7119">
        <w:tblPrEx>
          <w:tblCellMar>
            <w:top w:w="0" w:type="dxa"/>
            <w:left w:w="108" w:type="dxa"/>
            <w:bottom w:w="0" w:type="dxa"/>
            <w:right w:w="108" w:type="dxa"/>
          </w:tblCellMar>
        </w:tblPrEx>
        <w:trPr>
          <w:trHeight w:val="470" w:hRule="atLeast"/>
          <w:jc w:val="center"/>
        </w:trPr>
        <w:tc>
          <w:tcPr>
            <w:tcW w:w="613" w:type="dxa"/>
            <w:tcBorders>
              <w:top w:val="single" w:color="000000" w:sz="4" w:space="0"/>
              <w:left w:val="single" w:color="000000" w:sz="4" w:space="0"/>
              <w:right w:val="single" w:color="000000" w:sz="4" w:space="0"/>
            </w:tcBorders>
            <w:shd w:val="clear" w:color="auto" w:fill="auto"/>
            <w:vAlign w:val="center"/>
          </w:tcPr>
          <w:p w14:paraId="5381063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1D7DAB7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24BA7CE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0CFEDB5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2624498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04D3705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3EE7439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AE25827">
        <w:tblPrEx>
          <w:tblCellMar>
            <w:top w:w="0" w:type="dxa"/>
            <w:left w:w="108" w:type="dxa"/>
            <w:bottom w:w="0" w:type="dxa"/>
            <w:right w:w="108" w:type="dxa"/>
          </w:tblCellMar>
        </w:tblPrEx>
        <w:trPr>
          <w:trHeight w:val="285" w:hRule="atLeast"/>
          <w:jc w:val="center"/>
        </w:trPr>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4ED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center"/>
          </w:tcPr>
          <w:p w14:paraId="3EFD36E2">
            <w:pPr>
              <w:autoSpaceDE w:val="0"/>
              <w:autoSpaceDN w:val="0"/>
              <w:adjustRightInd w:val="0"/>
              <w:spacing w:line="30" w:lineRule="atLeast"/>
              <w:jc w:val="both"/>
              <w:rPr>
                <w:rFonts w:hint="default" w:ascii="Arial" w:hAnsi="Arial" w:eastAsia="Arial" w:cs="Arial"/>
                <w:sz w:val="17"/>
                <w:szCs w:val="17"/>
                <w:lang w:val="pt-BR" w:eastAsia="pt-BR"/>
              </w:rPr>
            </w:pPr>
            <w:r>
              <w:rPr>
                <w:rFonts w:ascii="Arial" w:hAnsi="Arial" w:cs="Arial"/>
                <w:b/>
                <w:bCs/>
                <w:sz w:val="17"/>
                <w:szCs w:val="17"/>
                <w:u w:val="single"/>
              </w:rPr>
              <w:t>ÁGUA MINERAL (SEM RETORNO DO VASILHAME/REFIL):</w:t>
            </w:r>
            <w:r>
              <w:rPr>
                <w:rFonts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9B56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109</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2884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61244EB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5F78C99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BEEB9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9DDC23">
        <w:tblPrEx>
          <w:tblCellMar>
            <w:top w:w="0" w:type="dxa"/>
            <w:left w:w="108" w:type="dxa"/>
            <w:bottom w:w="0" w:type="dxa"/>
            <w:right w:w="108" w:type="dxa"/>
          </w:tblCellMar>
        </w:tblPrEx>
        <w:trPr>
          <w:trHeight w:val="285" w:hRule="atLeast"/>
          <w:jc w:val="center"/>
        </w:trPr>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32DF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82013">
            <w:pPr>
              <w:autoSpaceDE w:val="0"/>
              <w:autoSpaceDN w:val="0"/>
              <w:adjustRightInd w:val="0"/>
              <w:spacing w:line="30" w:lineRule="atLeast"/>
              <w:jc w:val="both"/>
              <w:rPr>
                <w:rFonts w:hint="default" w:ascii="Arial" w:hAnsi="Arial" w:eastAsia="Arial" w:cs="Arial"/>
                <w:sz w:val="17"/>
                <w:szCs w:val="17"/>
                <w:lang w:val="pt-BR" w:eastAsia="pt-BR"/>
              </w:rPr>
            </w:pPr>
            <w:r>
              <w:rPr>
                <w:rFonts w:ascii="Arial" w:hAnsi="Arial" w:cs="Arial"/>
                <w:b/>
                <w:bCs/>
                <w:sz w:val="17"/>
                <w:szCs w:val="17"/>
                <w:u w:val="single"/>
              </w:rPr>
              <w:t>ÁGUA MINERAL (COM RETORNO DO VASILHAME/REFIL):</w:t>
            </w:r>
            <w:r>
              <w:rPr>
                <w:rFonts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222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2690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97EB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5E33AA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0F0788E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3F1BA7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445570">
        <w:tblPrEx>
          <w:tblCellMar>
            <w:top w:w="0" w:type="dxa"/>
            <w:left w:w="108" w:type="dxa"/>
            <w:bottom w:w="0" w:type="dxa"/>
            <w:right w:w="108" w:type="dxa"/>
          </w:tblCellMar>
        </w:tblPrEx>
        <w:trPr>
          <w:trHeight w:val="285" w:hRule="atLeast"/>
          <w:jc w:val="center"/>
        </w:trPr>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2EB07265">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1:</w:t>
            </w:r>
          </w:p>
        </w:tc>
        <w:tc>
          <w:tcPr>
            <w:tcW w:w="1258" w:type="dxa"/>
            <w:tcBorders>
              <w:top w:val="single" w:color="000000" w:sz="4" w:space="0"/>
              <w:left w:val="single" w:color="000000" w:sz="4" w:space="0"/>
              <w:bottom w:val="single" w:color="auto" w:sz="4" w:space="0"/>
              <w:right w:val="single" w:color="000000" w:sz="4" w:space="0"/>
            </w:tcBorders>
          </w:tcPr>
          <w:p w14:paraId="233C0A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8D494D0"/>
    <w:tbl>
      <w:tblPr>
        <w:tblStyle w:val="6"/>
        <w:tblpPr w:leftFromText="180" w:rightFromText="180" w:vertAnchor="text" w:horzAnchor="page" w:tblpXSpec="center" w:tblpY="1"/>
        <w:tblOverlap w:val="never"/>
        <w:tblW w:w="10002" w:type="dxa"/>
        <w:jc w:val="center"/>
        <w:tblLayout w:type="fixed"/>
        <w:tblCellMar>
          <w:top w:w="0" w:type="dxa"/>
          <w:left w:w="108" w:type="dxa"/>
          <w:bottom w:w="0" w:type="dxa"/>
          <w:right w:w="108" w:type="dxa"/>
        </w:tblCellMar>
      </w:tblPr>
      <w:tblGrid>
        <w:gridCol w:w="613"/>
        <w:gridCol w:w="3990"/>
        <w:gridCol w:w="825"/>
        <w:gridCol w:w="1006"/>
        <w:gridCol w:w="1155"/>
        <w:gridCol w:w="1155"/>
        <w:gridCol w:w="1258"/>
      </w:tblGrid>
      <w:tr w14:paraId="515F9C21">
        <w:tblPrEx>
          <w:tblCellMar>
            <w:top w:w="0" w:type="dxa"/>
            <w:left w:w="108" w:type="dxa"/>
            <w:bottom w:w="0" w:type="dxa"/>
            <w:right w:w="108" w:type="dxa"/>
          </w:tblCellMar>
        </w:tblPrEx>
        <w:trPr>
          <w:trHeight w:val="470" w:hRule="atLeast"/>
          <w:jc w:val="center"/>
        </w:trPr>
        <w:tc>
          <w:tcPr>
            <w:tcW w:w="10002" w:type="dxa"/>
            <w:gridSpan w:val="7"/>
            <w:tcBorders>
              <w:top w:val="single" w:color="000000" w:sz="4" w:space="0"/>
              <w:left w:val="single" w:color="000000" w:sz="4" w:space="0"/>
              <w:right w:val="single" w:color="000000" w:sz="4" w:space="0"/>
            </w:tcBorders>
            <w:shd w:val="clear" w:color="auto" w:fill="auto"/>
            <w:vAlign w:val="center"/>
          </w:tcPr>
          <w:p w14:paraId="6201C90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02</w:t>
            </w:r>
          </w:p>
        </w:tc>
      </w:tr>
      <w:tr w14:paraId="5ED8D146">
        <w:tblPrEx>
          <w:tblCellMar>
            <w:top w:w="0" w:type="dxa"/>
            <w:left w:w="108" w:type="dxa"/>
            <w:bottom w:w="0" w:type="dxa"/>
            <w:right w:w="108" w:type="dxa"/>
          </w:tblCellMar>
        </w:tblPrEx>
        <w:trPr>
          <w:trHeight w:val="470" w:hRule="atLeast"/>
          <w:jc w:val="center"/>
        </w:trPr>
        <w:tc>
          <w:tcPr>
            <w:tcW w:w="613" w:type="dxa"/>
            <w:tcBorders>
              <w:top w:val="single" w:color="000000" w:sz="4" w:space="0"/>
              <w:left w:val="single" w:color="000000" w:sz="4" w:space="0"/>
              <w:right w:val="single" w:color="000000" w:sz="4" w:space="0"/>
            </w:tcBorders>
            <w:shd w:val="clear" w:color="auto" w:fill="auto"/>
            <w:vAlign w:val="center"/>
          </w:tcPr>
          <w:p w14:paraId="56CCC9C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765151D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5A26BF7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2A937B6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041ECC6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0C082D7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7C72B91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70BE1A6">
        <w:tblPrEx>
          <w:tblCellMar>
            <w:top w:w="0" w:type="dxa"/>
            <w:left w:w="108" w:type="dxa"/>
            <w:bottom w:w="0" w:type="dxa"/>
            <w:right w:w="108" w:type="dxa"/>
          </w:tblCellMar>
        </w:tblPrEx>
        <w:trPr>
          <w:trHeight w:val="285" w:hRule="atLeast"/>
          <w:jc w:val="center"/>
        </w:trPr>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F613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center"/>
          </w:tcPr>
          <w:p w14:paraId="52BE03AB">
            <w:pPr>
              <w:pStyle w:val="3"/>
              <w:jc w:val="both"/>
              <w:rPr>
                <w:rFonts w:ascii="Arial" w:hAnsi="Arial" w:cs="Arial"/>
                <w:bCs w:val="0"/>
                <w:color w:val="auto"/>
                <w:sz w:val="17"/>
                <w:szCs w:val="17"/>
                <w:u w:val="single"/>
              </w:rPr>
            </w:pPr>
            <w:r>
              <w:rPr>
                <w:rFonts w:ascii="Arial" w:hAnsi="Arial" w:cs="Arial"/>
                <w:b/>
                <w:bCs/>
                <w:color w:val="auto"/>
                <w:sz w:val="17"/>
                <w:szCs w:val="17"/>
                <w:u w:val="single"/>
              </w:rPr>
              <w:t>ÁGUA MINERAL – GARRAFAS DE NO MÍNIMO 500ML (FARDO COM 12 UNIDADES)</w:t>
            </w:r>
          </w:p>
          <w:p w14:paraId="2B0730DC">
            <w:pPr>
              <w:autoSpaceDE w:val="0"/>
              <w:autoSpaceDN w:val="0"/>
              <w:adjustRightInd w:val="0"/>
              <w:spacing w:line="30" w:lineRule="atLeast"/>
              <w:jc w:val="both"/>
              <w:rPr>
                <w:rFonts w:hint="default" w:ascii="Arial" w:hAnsi="Arial" w:eastAsia="Arial" w:cs="Arial"/>
                <w:sz w:val="17"/>
                <w:szCs w:val="17"/>
                <w:lang w:val="pt-BR" w:eastAsia="pt-BR"/>
              </w:rPr>
            </w:pPr>
            <w:r>
              <w:rPr>
                <w:rFonts w:ascii="Arial" w:hAnsi="Arial" w:cs="Arial"/>
                <w:sz w:val="17"/>
                <w:szCs w:val="17"/>
              </w:rPr>
              <w:t>ÁGUA MINERAL NATURA SEM GÁS, EMBALADA EM GARRAFAS PLÁSTICAS DE MÍNIMO 500ML E MÁXIMO 510ML, EM FARDOS COM 12 UNIDADES. CADA EMBALAGEM DEVERÁ CONTER EXTERNAMENTE OS DADOS DE IDENTIFICAÇÃO, PROCEDÊNCIA: CONCESSIONÁRIA, LOCAL DA FONTE E FORMA DE CAPTAÇÃO DA ÁGUA, INFORMAÇÕES NUTRICIONAIS, CARACTERÍSTICAS FÍSICO–QUÍMICAS (PH E TEMPERATURA), FORMA DE CONSERVAÇÃO, NÚMERO DE LOTE, DATA DE VALIDADE E QUANTIDADE DO PRODUTO. A EMBALAGEM PRIMÁRIA DEVERÁ SER LACRADA E EM MATERIAL RESISTENTE, ADEQUADO PARA ARMAZENAMENTO E TRANSPORTE.</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7FF1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120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FE1DF">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FARDO</w:t>
            </w:r>
          </w:p>
        </w:tc>
        <w:tc>
          <w:tcPr>
            <w:tcW w:w="1155" w:type="dxa"/>
            <w:tcBorders>
              <w:top w:val="single" w:color="000000" w:sz="4" w:space="0"/>
              <w:left w:val="single" w:color="000000" w:sz="4" w:space="0"/>
              <w:bottom w:val="single" w:color="000000" w:sz="4" w:space="0"/>
              <w:right w:val="single" w:color="000000" w:sz="4" w:space="0"/>
            </w:tcBorders>
          </w:tcPr>
          <w:p w14:paraId="7440F13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8EA161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0CF3A4D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14B282">
        <w:tblPrEx>
          <w:tblCellMar>
            <w:top w:w="0" w:type="dxa"/>
            <w:left w:w="108" w:type="dxa"/>
            <w:bottom w:w="0" w:type="dxa"/>
            <w:right w:w="108" w:type="dxa"/>
          </w:tblCellMar>
        </w:tblPrEx>
        <w:trPr>
          <w:trHeight w:val="285" w:hRule="atLeast"/>
          <w:jc w:val="center"/>
        </w:trPr>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761442DB">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 2:</w:t>
            </w:r>
          </w:p>
        </w:tc>
        <w:tc>
          <w:tcPr>
            <w:tcW w:w="1258" w:type="dxa"/>
            <w:tcBorders>
              <w:top w:val="single" w:color="000000" w:sz="4" w:space="0"/>
              <w:left w:val="single" w:color="000000" w:sz="4" w:space="0"/>
              <w:bottom w:val="single" w:color="auto" w:sz="4" w:space="0"/>
              <w:right w:val="single" w:color="000000" w:sz="4" w:space="0"/>
            </w:tcBorders>
          </w:tcPr>
          <w:p w14:paraId="5769AFF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B8C569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200926E3">
      <w:pPr>
        <w:jc w:val="both"/>
        <w:rPr>
          <w:rFonts w:ascii="Arial" w:hAnsi="Arial" w:cs="Arial"/>
          <w:b/>
          <w:bCs/>
          <w:sz w:val="32"/>
          <w:szCs w:val="32"/>
        </w:rPr>
      </w:pPr>
    </w:p>
    <w:p w14:paraId="07C9882B">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068/2025</w:t>
      </w:r>
      <w:r>
        <w:rPr>
          <w:rFonts w:hint="default" w:ascii="Arial" w:hAnsi="Arial" w:cs="Arial"/>
          <w:sz w:val="17"/>
          <w:szCs w:val="17"/>
        </w:rPr>
        <w:t xml:space="preserve">, Processo Administrativo n.º </w:t>
      </w:r>
      <w:r>
        <w:rPr>
          <w:rFonts w:hint="default" w:ascii="Arial" w:hAnsi="Arial" w:cs="Arial"/>
          <w:sz w:val="17"/>
          <w:szCs w:val="17"/>
          <w:lang w:val="pt-BR"/>
        </w:rPr>
        <w:t>150/2025</w:t>
      </w:r>
      <w:r>
        <w:rPr>
          <w:rFonts w:hint="default" w:ascii="Arial" w:hAnsi="Arial" w:cs="Arial"/>
          <w:sz w:val="17"/>
          <w:szCs w:val="17"/>
        </w:rPr>
        <w:t xml:space="preserve">, Pregão Eletrônico n° </w:t>
      </w:r>
      <w:r>
        <w:rPr>
          <w:rFonts w:hint="default" w:ascii="Arial" w:hAnsi="Arial" w:cs="Arial"/>
          <w:sz w:val="17"/>
          <w:szCs w:val="17"/>
          <w:lang w:val="pt-BR"/>
        </w:rPr>
        <w:t>068/2025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55EC69A8">
      <w:pPr>
        <w:pStyle w:val="223"/>
        <w:numPr>
          <w:ilvl w:val="1"/>
          <w:numId w:val="19"/>
        </w:numPr>
        <w:tabs>
          <w:tab w:val="left" w:pos="426"/>
        </w:tabs>
        <w:spacing w:line="240" w:lineRule="auto"/>
        <w:ind w:left="0" w:firstLine="0"/>
        <w:jc w:val="both"/>
        <w:rPr>
          <w:rFonts w:ascii="Arial" w:hAnsi="Arial" w:cs="Arial"/>
          <w:sz w:val="20"/>
          <w:szCs w:val="20"/>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água mineral com e sem retorno de vasilhame, bem como em fardos com garrafas de no mínimo 500ml e máximo 510ml, com 12 unidades cada fardo, ambas sem gás, incluindo transporte e entrega, para atender as demandas da Prefeitura Municipal de Cataguases-MG</w:t>
      </w:r>
      <w:r>
        <w:rPr>
          <w:rFonts w:hint="default" w:ascii="Arial" w:hAnsi="Arial" w:cs="Arial"/>
          <w:b w:val="0"/>
          <w:bCs w:val="0"/>
          <w:sz w:val="17"/>
          <w:szCs w:val="17"/>
        </w:rPr>
        <w:t>, a saber:</w:t>
      </w:r>
    </w:p>
    <w:p w14:paraId="0E2BB820">
      <w:pPr>
        <w:pStyle w:val="223"/>
        <w:numPr>
          <w:ilvl w:val="0"/>
          <w:numId w:val="0"/>
        </w:numPr>
        <w:tabs>
          <w:tab w:val="left" w:pos="426"/>
        </w:tabs>
        <w:spacing w:line="240" w:lineRule="auto"/>
        <w:ind w:leftChars="0"/>
        <w:jc w:val="both"/>
        <w:rPr>
          <w:rFonts w:ascii="Arial" w:hAnsi="Arial" w:cs="Arial"/>
          <w:sz w:val="20"/>
          <w:szCs w:val="20"/>
        </w:rPr>
      </w:pPr>
    </w:p>
    <w:tbl>
      <w:tblPr>
        <w:tblStyle w:val="6"/>
        <w:tblpPr w:leftFromText="180" w:rightFromText="180" w:vertAnchor="text" w:horzAnchor="page" w:tblpXSpec="center" w:tblpY="1"/>
        <w:tblOverlap w:val="never"/>
        <w:tblW w:w="10002" w:type="dxa"/>
        <w:jc w:val="center"/>
        <w:tblLayout w:type="fixed"/>
        <w:tblCellMar>
          <w:top w:w="0" w:type="dxa"/>
          <w:left w:w="108" w:type="dxa"/>
          <w:bottom w:w="0" w:type="dxa"/>
          <w:right w:w="108" w:type="dxa"/>
        </w:tblCellMar>
      </w:tblPr>
      <w:tblGrid>
        <w:gridCol w:w="613"/>
        <w:gridCol w:w="3990"/>
        <w:gridCol w:w="825"/>
        <w:gridCol w:w="1006"/>
        <w:gridCol w:w="1155"/>
        <w:gridCol w:w="1155"/>
        <w:gridCol w:w="1258"/>
      </w:tblGrid>
      <w:tr w14:paraId="3BF39819">
        <w:tblPrEx>
          <w:tblCellMar>
            <w:top w:w="0" w:type="dxa"/>
            <w:left w:w="108" w:type="dxa"/>
            <w:bottom w:w="0" w:type="dxa"/>
            <w:right w:w="108" w:type="dxa"/>
          </w:tblCellMar>
        </w:tblPrEx>
        <w:trPr>
          <w:trHeight w:val="470" w:hRule="atLeast"/>
          <w:jc w:val="center"/>
        </w:trPr>
        <w:tc>
          <w:tcPr>
            <w:tcW w:w="10002" w:type="dxa"/>
            <w:gridSpan w:val="7"/>
            <w:tcBorders>
              <w:top w:val="single" w:color="000000" w:sz="4" w:space="0"/>
              <w:left w:val="single" w:color="000000" w:sz="4" w:space="0"/>
              <w:right w:val="single" w:color="000000" w:sz="4" w:space="0"/>
            </w:tcBorders>
            <w:shd w:val="clear" w:color="auto" w:fill="auto"/>
            <w:vAlign w:val="center"/>
          </w:tcPr>
          <w:p w14:paraId="1AD089A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01</w:t>
            </w:r>
          </w:p>
        </w:tc>
      </w:tr>
      <w:tr w14:paraId="256A04D5">
        <w:tblPrEx>
          <w:tblCellMar>
            <w:top w:w="0" w:type="dxa"/>
            <w:left w:w="108" w:type="dxa"/>
            <w:bottom w:w="0" w:type="dxa"/>
            <w:right w:w="108" w:type="dxa"/>
          </w:tblCellMar>
        </w:tblPrEx>
        <w:trPr>
          <w:trHeight w:val="470" w:hRule="atLeast"/>
          <w:jc w:val="center"/>
        </w:trPr>
        <w:tc>
          <w:tcPr>
            <w:tcW w:w="613" w:type="dxa"/>
            <w:tcBorders>
              <w:top w:val="single" w:color="000000" w:sz="4" w:space="0"/>
              <w:left w:val="single" w:color="000000" w:sz="4" w:space="0"/>
              <w:right w:val="single" w:color="000000" w:sz="4" w:space="0"/>
            </w:tcBorders>
            <w:shd w:val="clear" w:color="auto" w:fill="auto"/>
            <w:vAlign w:val="center"/>
          </w:tcPr>
          <w:p w14:paraId="6CBAD8F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2CC41D86">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6925F3A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610F6FD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527C8B6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31715CA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2BB8C53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02FDC5B">
        <w:tblPrEx>
          <w:tblCellMar>
            <w:top w:w="0" w:type="dxa"/>
            <w:left w:w="108" w:type="dxa"/>
            <w:bottom w:w="0" w:type="dxa"/>
            <w:right w:w="108" w:type="dxa"/>
          </w:tblCellMar>
        </w:tblPrEx>
        <w:trPr>
          <w:trHeight w:val="285" w:hRule="atLeast"/>
          <w:jc w:val="center"/>
        </w:trPr>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7FC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center"/>
          </w:tcPr>
          <w:p w14:paraId="0F2CEF66">
            <w:pPr>
              <w:autoSpaceDE w:val="0"/>
              <w:autoSpaceDN w:val="0"/>
              <w:adjustRightInd w:val="0"/>
              <w:spacing w:line="30" w:lineRule="atLeast"/>
              <w:jc w:val="both"/>
              <w:rPr>
                <w:rFonts w:hint="default" w:ascii="Arial" w:hAnsi="Arial" w:eastAsia="Arial" w:cs="Arial"/>
                <w:sz w:val="17"/>
                <w:szCs w:val="17"/>
                <w:lang w:val="pt-BR" w:eastAsia="pt-BR"/>
              </w:rPr>
            </w:pPr>
            <w:r>
              <w:rPr>
                <w:rFonts w:ascii="Arial" w:hAnsi="Arial" w:cs="Arial"/>
                <w:b/>
                <w:bCs/>
                <w:sz w:val="17"/>
                <w:szCs w:val="17"/>
                <w:u w:val="single"/>
              </w:rPr>
              <w:t>ÁGUA MINERAL (SEM RETORNO DO VASILHAME/REFIL):</w:t>
            </w:r>
            <w:r>
              <w:rPr>
                <w:rFonts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9418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109</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4E78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77F97E9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783B425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781952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76C142">
        <w:tblPrEx>
          <w:tblCellMar>
            <w:top w:w="0" w:type="dxa"/>
            <w:left w:w="108" w:type="dxa"/>
            <w:bottom w:w="0" w:type="dxa"/>
            <w:right w:w="108" w:type="dxa"/>
          </w:tblCellMar>
        </w:tblPrEx>
        <w:trPr>
          <w:trHeight w:val="285" w:hRule="atLeast"/>
          <w:jc w:val="center"/>
        </w:trPr>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5E68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w:t>
            </w:r>
          </w:p>
        </w:tc>
        <w:tc>
          <w:tcPr>
            <w:tcW w:w="3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8167A">
            <w:pPr>
              <w:autoSpaceDE w:val="0"/>
              <w:autoSpaceDN w:val="0"/>
              <w:adjustRightInd w:val="0"/>
              <w:spacing w:line="30" w:lineRule="atLeast"/>
              <w:jc w:val="both"/>
              <w:rPr>
                <w:rFonts w:hint="default" w:ascii="Arial" w:hAnsi="Arial" w:eastAsia="Arial" w:cs="Arial"/>
                <w:sz w:val="17"/>
                <w:szCs w:val="17"/>
                <w:lang w:val="pt-BR" w:eastAsia="pt-BR"/>
              </w:rPr>
            </w:pPr>
            <w:r>
              <w:rPr>
                <w:rFonts w:ascii="Arial" w:hAnsi="Arial" w:cs="Arial"/>
                <w:b/>
                <w:bCs/>
                <w:sz w:val="17"/>
                <w:szCs w:val="17"/>
                <w:u w:val="single"/>
              </w:rPr>
              <w:t>ÁGUA MINERAL (COM RETORNO DO VASILHAME/REFIL):</w:t>
            </w:r>
            <w:r>
              <w:rPr>
                <w:rFonts w:ascii="Arial" w:hAnsi="Arial" w:cs="Arial"/>
                <w:sz w:val="17"/>
                <w:szCs w:val="17"/>
              </w:rPr>
              <w:t xml:space="preserve"> EMBALAGEM FECHADA (GALÃO) DE 20 LITROS. A EMBALAGEM DEVERÁ CONTER EXTERNAMENTE OS DADOS DE IDENTIFICAÇÃO, TIPO DE EMBALAGEM, PROCEDÊNCIA: CONCESSIONÁRIA, LOCAL DA FONTE E FORMA DE CAPTAÇÃO DA ÁGUA, INFORMAÇÕES NUTRICIONAIS, CARACTERÍSTICAS FÍSICO – QUÍMICAS: PH E TEMPERATURA, FORMA DE CONSERVAÇÃO, NÚMERO DE LOTE, DATA DE VALIDADE, QUANTIDADE DO PRODUTO.</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BFF4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2690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33EB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155" w:type="dxa"/>
            <w:tcBorders>
              <w:top w:val="single" w:color="000000" w:sz="4" w:space="0"/>
              <w:left w:val="single" w:color="000000" w:sz="4" w:space="0"/>
              <w:bottom w:val="single" w:color="000000" w:sz="4" w:space="0"/>
              <w:right w:val="single" w:color="000000" w:sz="4" w:space="0"/>
            </w:tcBorders>
          </w:tcPr>
          <w:p w14:paraId="36F5B9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16938D2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131EDF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AEA7BB">
        <w:tblPrEx>
          <w:tblCellMar>
            <w:top w:w="0" w:type="dxa"/>
            <w:left w:w="108" w:type="dxa"/>
            <w:bottom w:w="0" w:type="dxa"/>
            <w:right w:w="108" w:type="dxa"/>
          </w:tblCellMar>
        </w:tblPrEx>
        <w:trPr>
          <w:trHeight w:val="285" w:hRule="atLeast"/>
          <w:jc w:val="center"/>
        </w:trPr>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6D3B56FF">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258" w:type="dxa"/>
            <w:tcBorders>
              <w:top w:val="single" w:color="000000" w:sz="4" w:space="0"/>
              <w:left w:val="single" w:color="000000" w:sz="4" w:space="0"/>
              <w:bottom w:val="single" w:color="auto" w:sz="4" w:space="0"/>
              <w:right w:val="single" w:color="000000" w:sz="4" w:space="0"/>
            </w:tcBorders>
          </w:tcPr>
          <w:p w14:paraId="467226D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F68322B">
      <w:pPr>
        <w:spacing w:line="276" w:lineRule="auto"/>
        <w:ind w:left="-142"/>
        <w:rPr>
          <w:rFonts w:ascii="Arial" w:hAnsi="Arial" w:cs="Arial"/>
          <w:sz w:val="20"/>
          <w:szCs w:val="20"/>
        </w:rPr>
      </w:pPr>
    </w:p>
    <w:tbl>
      <w:tblPr>
        <w:tblStyle w:val="6"/>
        <w:tblpPr w:leftFromText="180" w:rightFromText="180" w:vertAnchor="text" w:horzAnchor="page" w:tblpXSpec="center" w:tblpY="1"/>
        <w:tblOverlap w:val="never"/>
        <w:tblW w:w="10002" w:type="dxa"/>
        <w:jc w:val="center"/>
        <w:tblLayout w:type="fixed"/>
        <w:tblCellMar>
          <w:top w:w="0" w:type="dxa"/>
          <w:left w:w="108" w:type="dxa"/>
          <w:bottom w:w="0" w:type="dxa"/>
          <w:right w:w="108" w:type="dxa"/>
        </w:tblCellMar>
      </w:tblPr>
      <w:tblGrid>
        <w:gridCol w:w="613"/>
        <w:gridCol w:w="3990"/>
        <w:gridCol w:w="825"/>
        <w:gridCol w:w="1006"/>
        <w:gridCol w:w="1155"/>
        <w:gridCol w:w="1155"/>
        <w:gridCol w:w="1258"/>
      </w:tblGrid>
      <w:tr w14:paraId="3EDD35D3">
        <w:tblPrEx>
          <w:tblCellMar>
            <w:top w:w="0" w:type="dxa"/>
            <w:left w:w="108" w:type="dxa"/>
            <w:bottom w:w="0" w:type="dxa"/>
            <w:right w:w="108" w:type="dxa"/>
          </w:tblCellMar>
        </w:tblPrEx>
        <w:trPr>
          <w:trHeight w:val="470" w:hRule="atLeast"/>
          <w:jc w:val="center"/>
        </w:trPr>
        <w:tc>
          <w:tcPr>
            <w:tcW w:w="10002" w:type="dxa"/>
            <w:gridSpan w:val="7"/>
            <w:tcBorders>
              <w:top w:val="single" w:color="000000" w:sz="4" w:space="0"/>
              <w:left w:val="single" w:color="000000" w:sz="4" w:space="0"/>
              <w:right w:val="single" w:color="000000" w:sz="4" w:space="0"/>
            </w:tcBorders>
            <w:shd w:val="clear" w:color="auto" w:fill="auto"/>
            <w:vAlign w:val="center"/>
          </w:tcPr>
          <w:p w14:paraId="5AAB6E8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02</w:t>
            </w:r>
          </w:p>
        </w:tc>
      </w:tr>
      <w:tr w14:paraId="5B9E0089">
        <w:tblPrEx>
          <w:tblCellMar>
            <w:top w:w="0" w:type="dxa"/>
            <w:left w:w="108" w:type="dxa"/>
            <w:bottom w:w="0" w:type="dxa"/>
            <w:right w:w="108" w:type="dxa"/>
          </w:tblCellMar>
        </w:tblPrEx>
        <w:trPr>
          <w:trHeight w:val="470" w:hRule="atLeast"/>
          <w:jc w:val="center"/>
        </w:trPr>
        <w:tc>
          <w:tcPr>
            <w:tcW w:w="613" w:type="dxa"/>
            <w:tcBorders>
              <w:top w:val="single" w:color="000000" w:sz="4" w:space="0"/>
              <w:left w:val="single" w:color="000000" w:sz="4" w:space="0"/>
              <w:right w:val="single" w:color="000000" w:sz="4" w:space="0"/>
            </w:tcBorders>
            <w:shd w:val="clear" w:color="auto" w:fill="auto"/>
            <w:vAlign w:val="center"/>
          </w:tcPr>
          <w:p w14:paraId="7DFC976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90" w:type="dxa"/>
            <w:tcBorders>
              <w:top w:val="single" w:color="000000" w:sz="4" w:space="0"/>
              <w:left w:val="single" w:color="000000" w:sz="4" w:space="0"/>
              <w:bottom w:val="single" w:color="auto" w:sz="4" w:space="0"/>
              <w:right w:val="single" w:color="000000" w:sz="4" w:space="0"/>
            </w:tcBorders>
            <w:shd w:val="clear" w:color="auto" w:fill="auto"/>
            <w:vAlign w:val="center"/>
          </w:tcPr>
          <w:p w14:paraId="05A038C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825" w:type="dxa"/>
            <w:tcBorders>
              <w:top w:val="single" w:color="000000" w:sz="4" w:space="0"/>
              <w:left w:val="single" w:color="000000" w:sz="4" w:space="0"/>
              <w:right w:val="single" w:color="000000" w:sz="4" w:space="0"/>
            </w:tcBorders>
            <w:vAlign w:val="center"/>
          </w:tcPr>
          <w:p w14:paraId="39D8653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06" w:type="dxa"/>
            <w:tcBorders>
              <w:top w:val="single" w:color="000000" w:sz="4" w:space="0"/>
              <w:left w:val="single" w:color="000000" w:sz="4" w:space="0"/>
              <w:right w:val="single" w:color="000000" w:sz="4" w:space="0"/>
            </w:tcBorders>
            <w:vAlign w:val="center"/>
          </w:tcPr>
          <w:p w14:paraId="333D525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155" w:type="dxa"/>
            <w:tcBorders>
              <w:top w:val="single" w:color="000000" w:sz="4" w:space="0"/>
              <w:left w:val="single" w:color="000000" w:sz="4" w:space="0"/>
              <w:right w:val="single" w:color="000000" w:sz="4" w:space="0"/>
            </w:tcBorders>
            <w:vAlign w:val="center"/>
          </w:tcPr>
          <w:p w14:paraId="02B9019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155" w:type="dxa"/>
            <w:tcBorders>
              <w:top w:val="single" w:color="000000" w:sz="4" w:space="0"/>
              <w:left w:val="single" w:color="000000" w:sz="4" w:space="0"/>
              <w:right w:val="single" w:color="000000" w:sz="4" w:space="0"/>
            </w:tcBorders>
            <w:vAlign w:val="center"/>
          </w:tcPr>
          <w:p w14:paraId="3D2EDF8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58" w:type="dxa"/>
            <w:tcBorders>
              <w:top w:val="single" w:color="000000" w:sz="4" w:space="0"/>
              <w:left w:val="single" w:color="000000" w:sz="4" w:space="0"/>
              <w:right w:val="single" w:color="000000" w:sz="4" w:space="0"/>
            </w:tcBorders>
            <w:vAlign w:val="center"/>
          </w:tcPr>
          <w:p w14:paraId="2E77662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B20D6C1">
        <w:tblPrEx>
          <w:tblCellMar>
            <w:top w:w="0" w:type="dxa"/>
            <w:left w:w="108" w:type="dxa"/>
            <w:bottom w:w="0" w:type="dxa"/>
            <w:right w:w="108" w:type="dxa"/>
          </w:tblCellMar>
        </w:tblPrEx>
        <w:trPr>
          <w:trHeight w:val="285" w:hRule="atLeast"/>
          <w:jc w:val="center"/>
        </w:trPr>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866D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w:t>
            </w:r>
          </w:p>
        </w:tc>
        <w:tc>
          <w:tcPr>
            <w:tcW w:w="3990" w:type="dxa"/>
            <w:tcBorders>
              <w:top w:val="single" w:color="auto" w:sz="4" w:space="0"/>
              <w:left w:val="single" w:color="000000" w:sz="4" w:space="0"/>
              <w:bottom w:val="single" w:color="000000" w:sz="4" w:space="0"/>
              <w:right w:val="single" w:color="000000" w:sz="4" w:space="0"/>
            </w:tcBorders>
            <w:shd w:val="clear" w:color="auto" w:fill="auto"/>
            <w:vAlign w:val="center"/>
          </w:tcPr>
          <w:p w14:paraId="41352580">
            <w:pPr>
              <w:pStyle w:val="3"/>
              <w:jc w:val="both"/>
              <w:rPr>
                <w:rFonts w:ascii="Arial" w:hAnsi="Arial" w:cs="Arial"/>
                <w:bCs w:val="0"/>
                <w:color w:val="auto"/>
                <w:sz w:val="17"/>
                <w:szCs w:val="17"/>
                <w:u w:val="single"/>
              </w:rPr>
            </w:pPr>
            <w:r>
              <w:rPr>
                <w:rFonts w:ascii="Arial" w:hAnsi="Arial" w:cs="Arial"/>
                <w:b/>
                <w:bCs/>
                <w:color w:val="auto"/>
                <w:sz w:val="17"/>
                <w:szCs w:val="17"/>
                <w:u w:val="single"/>
              </w:rPr>
              <w:t>ÁGUA MINERAL – GARRAFAS DE NO MÍNIMO 500ML (FARDO COM 12 UNIDADES)</w:t>
            </w:r>
          </w:p>
          <w:p w14:paraId="70219205">
            <w:pPr>
              <w:autoSpaceDE w:val="0"/>
              <w:autoSpaceDN w:val="0"/>
              <w:adjustRightInd w:val="0"/>
              <w:spacing w:line="30" w:lineRule="atLeast"/>
              <w:jc w:val="both"/>
              <w:rPr>
                <w:rFonts w:hint="default" w:ascii="Arial" w:hAnsi="Arial" w:eastAsia="Arial" w:cs="Arial"/>
                <w:sz w:val="17"/>
                <w:szCs w:val="17"/>
                <w:lang w:val="pt-BR" w:eastAsia="pt-BR"/>
              </w:rPr>
            </w:pPr>
            <w:r>
              <w:rPr>
                <w:rFonts w:ascii="Arial" w:hAnsi="Arial" w:cs="Arial"/>
                <w:sz w:val="17"/>
                <w:szCs w:val="17"/>
              </w:rPr>
              <w:t>ÁGUA MINERAL NATURA SEM GÁS, EMBALADA EM GARRAFAS PLÁSTICAS DE MÍNIMO 500ML E MÁXIMO 510ML, EM FARDOS COM 12 UNIDADES. CADA EMBALAGEM DEVERÁ CONTER EXTERNAMENTE OS DADOS DE IDENTIFICAÇÃO, PROCEDÊNCIA: CONCESSIONÁRIA, LOCAL DA FONTE E FORMA DE CAPTAÇÃO DA ÁGUA, INFORMAÇÕES NUTRICIONAIS, CARACTERÍSTICAS FÍSICO–QUÍMICAS (PH E TEMPERATURA), FORMA DE CONSERVAÇÃO, NÚMERO DE LOTE, DATA DE VALIDADE E QUANTIDADE DO PRODUTO. A EMBALAGEM PRIMÁRIA DEVERÁ SER LACRADA E EM MATERIAL RESISTENTE, ADEQUADO PARA ARMAZENAMENTO E TRANSPORTE.</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D8A5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120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C0AD8">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FARDO</w:t>
            </w:r>
          </w:p>
        </w:tc>
        <w:tc>
          <w:tcPr>
            <w:tcW w:w="1155" w:type="dxa"/>
            <w:tcBorders>
              <w:top w:val="single" w:color="000000" w:sz="4" w:space="0"/>
              <w:left w:val="single" w:color="000000" w:sz="4" w:space="0"/>
              <w:bottom w:val="single" w:color="000000" w:sz="4" w:space="0"/>
              <w:right w:val="single" w:color="000000" w:sz="4" w:space="0"/>
            </w:tcBorders>
          </w:tcPr>
          <w:p w14:paraId="159C8DA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tcPr>
          <w:p w14:paraId="6AB99E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58" w:type="dxa"/>
            <w:tcBorders>
              <w:top w:val="single" w:color="000000" w:sz="4" w:space="0"/>
              <w:left w:val="single" w:color="000000" w:sz="4" w:space="0"/>
              <w:bottom w:val="single" w:color="000000" w:sz="4" w:space="0"/>
              <w:right w:val="single" w:color="000000" w:sz="4" w:space="0"/>
            </w:tcBorders>
          </w:tcPr>
          <w:p w14:paraId="69399D4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2E4DC8">
        <w:tblPrEx>
          <w:tblCellMar>
            <w:top w:w="0" w:type="dxa"/>
            <w:left w:w="108" w:type="dxa"/>
            <w:bottom w:w="0" w:type="dxa"/>
            <w:right w:w="108" w:type="dxa"/>
          </w:tblCellMar>
        </w:tblPrEx>
        <w:trPr>
          <w:trHeight w:val="285" w:hRule="atLeast"/>
          <w:jc w:val="center"/>
        </w:trPr>
        <w:tc>
          <w:tcPr>
            <w:tcW w:w="8744"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4A232B16">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258" w:type="dxa"/>
            <w:tcBorders>
              <w:top w:val="single" w:color="000000" w:sz="4" w:space="0"/>
              <w:left w:val="single" w:color="000000" w:sz="4" w:space="0"/>
              <w:bottom w:val="single" w:color="auto" w:sz="4" w:space="0"/>
              <w:right w:val="single" w:color="000000" w:sz="4" w:space="0"/>
            </w:tcBorders>
          </w:tcPr>
          <w:p w14:paraId="1FD904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BD5501D">
      <w:pPr>
        <w:pStyle w:val="223"/>
        <w:numPr>
          <w:ilvl w:val="0"/>
          <w:numId w:val="0"/>
        </w:numPr>
        <w:spacing w:line="240" w:lineRule="auto"/>
        <w:ind w:leftChars="0"/>
        <w:jc w:val="both"/>
        <w:rPr>
          <w:rFonts w:hint="default" w:ascii="Arial" w:hAnsi="Arial" w:cs="Arial"/>
          <w:sz w:val="17"/>
          <w:szCs w:val="17"/>
        </w:rPr>
      </w:pPr>
    </w:p>
    <w:p w14:paraId="629CAE8A">
      <w:pPr>
        <w:pStyle w:val="223"/>
        <w:numPr>
          <w:ilvl w:val="1"/>
          <w:numId w:val="19"/>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047F50EC">
      <w:pPr>
        <w:pStyle w:val="223"/>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FDEC196">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w:t>
      </w:r>
      <w:r>
        <w:rPr>
          <w:rFonts w:hint="default" w:eastAsia="Arial" w:cs="Arial"/>
          <w:b w:val="0"/>
          <w:bCs/>
          <w:sz w:val="17"/>
          <w:szCs w:val="17"/>
          <w:rtl w:val="0"/>
          <w:lang w:val="pt-BR"/>
        </w:rPr>
        <w:t xml:space="preserve"> </w:t>
      </w:r>
      <w:r>
        <w:rPr>
          <w:rFonts w:hint="default" w:ascii="Arial" w:hAnsi="Arial" w:eastAsia="Arial"/>
          <w:b w:val="0"/>
          <w:bCs/>
          <w:sz w:val="17"/>
          <w:szCs w:val="17"/>
          <w:rtl w:val="0"/>
        </w:rPr>
        <w:t xml:space="preserve">A entrega será realizada conforme a necessidade da Unidade Requisitante, com o prazo de 48 (quarenta e oito) horas à partir da data de envio da Solicitação de Fornecimento, salvo em casos de demandas urgentes. </w:t>
      </w:r>
    </w:p>
    <w:p w14:paraId="48C81FA0">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.1.1. Considera-se demandas urgentes aquelas solicitadas com antecedência máxima de 24 (vinte e quatro) horas da entrega dos itens, desde que devidamente justificado pela Unidade Requisitante e mediante envio de Solicitação de Fornecimento. </w:t>
      </w:r>
    </w:p>
    <w:p w14:paraId="3457C44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.2. Os itens deverão ser entregues adequadamente, de forma a permitir completa segurança durante o transporte.</w:t>
      </w:r>
    </w:p>
    <w:p w14:paraId="537924A0">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.3. Os itens serão rigorosamente avaliados no ato da entrega nos quesitos qualidade. Caso os mesmos estejam em desacordo ao que foi solicitado, as notas não serão assinadas.</w:t>
      </w:r>
    </w:p>
    <w:p w14:paraId="104D56B8">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.4. As notas fiscais deverão ser assinadas pelo funcionário responsável pelo recebimento.</w:t>
      </w:r>
    </w:p>
    <w:p w14:paraId="1C24910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.5. Os itens poderão ser rejeitados, no todo ou em parte, quando em desacordo com as especificações constantes neste Termo de Referência e na proposta, devendo ser substituídos no prazo estipulado pela CONTRATANTE, onde a CONTRATADA deverá arcar  com todas as despesas, diretas ou indiretas, decorrentes do descumprimento.</w:t>
      </w:r>
    </w:p>
    <w:p w14:paraId="6221B8B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.6. Os locais de entrega serão informados no ato do envio das Autorizações de Fornecimento (e-mail direcionado ao fornecedor) ou descrito nas mesmas. </w:t>
      </w:r>
    </w:p>
    <w:p w14:paraId="332317E0">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 Os horários de entrega deverão ser de 08:00h às 11:00h e de 13:00h às 16:00h, em dias úteis.</w:t>
      </w:r>
    </w:p>
    <w:p w14:paraId="4357A197">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.8</w:t>
      </w:r>
      <w:r>
        <w:rPr>
          <w:rFonts w:hint="default" w:ascii="Arial" w:hAnsi="Arial" w:eastAsia="Arial"/>
          <w:b w:val="0"/>
          <w:bCs/>
          <w:sz w:val="17"/>
          <w:szCs w:val="17"/>
          <w:rtl w:val="0"/>
        </w:rPr>
        <w:t>. A contratada deverá observar rigorosamente as normas da ANVISA e demais normas sanitárias vigentes quanto ao armazenamento, transporte e entrega dos itens.</w:t>
      </w:r>
    </w:p>
    <w:p w14:paraId="74A59DB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.9. Por motivos de força maior ou caso fortuito, a CONTRATANTE poderá, mediante justificativa, alterar os endereços ou locais previamente estabelecidos para a entrega dos itens, devendo a CONTRATADA ser previamente comunicada, com a antecedência possível, para fins de readequação logística e cumprimento da nova programação.</w:t>
      </w:r>
    </w:p>
    <w:p w14:paraId="0F8BF175">
      <w:pPr>
        <w:pageBreakBefore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cs="Arial"/>
          <w:b/>
          <w:sz w:val="17"/>
          <w:szCs w:val="17"/>
        </w:rPr>
      </w:pPr>
      <w:r>
        <w:rPr>
          <w:rFonts w:hint="default" w:ascii="Arial" w:hAnsi="Arial" w:cs="Arial"/>
          <w:b/>
          <w:sz w:val="17"/>
          <w:szCs w:val="17"/>
          <w:lang w:val="pt-BR"/>
        </w:rPr>
        <w:t xml:space="preserve">2.10 </w:t>
      </w:r>
      <w:r>
        <w:rPr>
          <w:rFonts w:hint="default" w:ascii="Arial" w:hAnsi="Arial" w:cs="Arial"/>
          <w:b/>
          <w:sz w:val="17"/>
          <w:szCs w:val="17"/>
        </w:rPr>
        <w:t>GARANTIA DO OBJETO</w:t>
      </w:r>
    </w:p>
    <w:p w14:paraId="409E4BFD">
      <w:pPr>
        <w:pStyle w:val="23"/>
        <w:pageBreakBefore w:val="0"/>
        <w:kinsoku/>
        <w:wordWrap/>
        <w:overflowPunct/>
        <w:topLinePunct w:val="0"/>
        <w:bidi w:val="0"/>
        <w:snapToGrid/>
        <w:spacing w:before="0" w:beforeAutospacing="0" w:after="0" w:afterAutospacing="0" w:line="240" w:lineRule="auto"/>
        <w:ind w:left="0" w:leftChars="0" w:right="0" w:firstLine="0" w:firstLineChars="0"/>
        <w:contextualSpacing/>
        <w:jc w:val="both"/>
        <w:textAlignment w:val="auto"/>
        <w:rPr>
          <w:rFonts w:hint="default" w:ascii="Arial" w:hAnsi="Arial" w:cs="Arial"/>
          <w:sz w:val="17"/>
          <w:szCs w:val="17"/>
        </w:rPr>
      </w:pPr>
      <w:r>
        <w:rPr>
          <w:rFonts w:hint="default" w:ascii="Arial" w:hAnsi="Arial" w:cs="Arial"/>
          <w:b/>
          <w:sz w:val="17"/>
          <w:szCs w:val="17"/>
          <w:lang w:val="pt-BR"/>
        </w:rPr>
        <w:t xml:space="preserve">2.10.1 </w:t>
      </w:r>
      <w:r>
        <w:rPr>
          <w:rFonts w:hint="default" w:ascii="Arial" w:hAnsi="Arial" w:cs="Arial"/>
          <w:sz w:val="17"/>
          <w:szCs w:val="17"/>
        </w:rPr>
        <w:t>A empresa contratada será responsável por garantir a</w:t>
      </w:r>
      <w:r>
        <w:rPr>
          <w:rFonts w:hint="default" w:ascii="Arial" w:hAnsi="Arial" w:cs="Arial"/>
          <w:b/>
          <w:sz w:val="17"/>
          <w:szCs w:val="17"/>
        </w:rPr>
        <w:t xml:space="preserve"> </w:t>
      </w:r>
      <w:r>
        <w:rPr>
          <w:rStyle w:val="8"/>
          <w:rFonts w:hint="default" w:ascii="Arial" w:hAnsi="Arial" w:cs="Arial"/>
          <w:b w:val="0"/>
          <w:sz w:val="17"/>
          <w:szCs w:val="17"/>
        </w:rPr>
        <w:t>qualidade, integridade, validade e condições higiênico-sanitárias</w:t>
      </w:r>
      <w:r>
        <w:rPr>
          <w:rFonts w:hint="default" w:ascii="Arial" w:hAnsi="Arial" w:cs="Arial"/>
          <w:sz w:val="17"/>
          <w:szCs w:val="17"/>
        </w:rPr>
        <w:t xml:space="preserve"> dos itens, observando rigorosamente os padrões estabelecidos pelo </w:t>
      </w:r>
      <w:r>
        <w:rPr>
          <w:rStyle w:val="8"/>
          <w:rFonts w:hint="default" w:ascii="Arial" w:hAnsi="Arial" w:cs="Arial"/>
          <w:b w:val="0"/>
          <w:sz w:val="17"/>
          <w:szCs w:val="17"/>
        </w:rPr>
        <w:t>Código de Defesa do Consumidor (Lei nº 8.078/1990)</w:t>
      </w:r>
      <w:r>
        <w:rPr>
          <w:rFonts w:hint="default" w:ascii="Arial" w:hAnsi="Arial" w:cs="Arial"/>
          <w:sz w:val="17"/>
          <w:szCs w:val="17"/>
        </w:rPr>
        <w:t>, bem como pelas normas sanitárias vigentes.</w:t>
      </w:r>
    </w:p>
    <w:p w14:paraId="56B5D2B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p>
    <w:p w14:paraId="1DA3F1FB">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5"/>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6"/>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6"/>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068/2025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3"/>
        <w:numPr>
          <w:ilvl w:val="2"/>
          <w:numId w:val="20"/>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8690185">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w:t>
      </w:r>
      <w:r>
        <w:rPr>
          <w:rFonts w:hint="default" w:ascii="Arial" w:hAnsi="Arial" w:eastAsia="Arial"/>
          <w:b w:val="0"/>
          <w:bCs w:val="0"/>
          <w:sz w:val="17"/>
          <w:szCs w:val="17"/>
          <w:rtl w:val="0"/>
          <w:lang w:val="pt-BR"/>
        </w:rPr>
        <w:t xml:space="preserve"> Assumir a responsabilidade pelos encargos fiscais e comerciais resultantes da adjudicação desta licitação;</w:t>
      </w:r>
    </w:p>
    <w:p w14:paraId="35FBE167">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Submeter-se à fiscalização da contratante, através do setor competente, para verificação da qualidade dos itens, orientando, fiscalizando e intervindo ao seu exclusivo interesse, com a finalidade de garantir o exato cumprimento das condições pactuadas;</w:t>
      </w:r>
    </w:p>
    <w:p w14:paraId="34D0BA2D">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5.1.3.  Reparar, corrigir, remover, reconstruir ou substituir, às suas expensas, no todo ou em parte, o objeto desta Ata de Registro de Preços em que se verificarem vícios, defeitos ou incorreções resultantes dos serviços.</w:t>
      </w:r>
    </w:p>
    <w:p w14:paraId="398B7044">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5.1.4. Responsabilizar-se pelo carregamento e transporte até o local de entrega.</w:t>
      </w:r>
    </w:p>
    <w:p w14:paraId="55A7F855">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5.1.5. Aos itens que couberem, deverão apresentar procedência, e  data de validade visível e dentro do prazo apto ao consumo.</w:t>
      </w:r>
    </w:p>
    <w:p w14:paraId="70863775">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026C5799">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5.1.7. A entrega será de forma parcelada, de acordo com as demandas da Unidade Requisitante, mediante envio da Solicitação de Fornecimento dentro do prazo estipulado no item 6.1 e 6.1.1, contados do recebimento da Solicitação de Fornecimento, devendo ser entregues no endereço informado pelo setor requisitante. </w:t>
      </w:r>
    </w:p>
    <w:p w14:paraId="5C8866ED">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5.1.8. Efetuar a execução do objeto em perfeitas condições, conforme especificações, prazo e local constantes no Termo de Referência e seus ANEXOS, acompanhado da respectiva nota fiscal, na qual constarão as indicações referentes, no mínimo, a procedência e prazo de validade;</w:t>
      </w:r>
    </w:p>
    <w:p w14:paraId="622A2CD0">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5.1.9. Comunicar à CONTRATANTE qualquer anormalidade de caráter urgente e prestar os esclarecimentos que julgarem-se necessários</w:t>
      </w:r>
    </w:p>
    <w:p w14:paraId="55A997A1">
      <w:pPr>
        <w:pStyle w:val="223"/>
        <w:numPr>
          <w:ilvl w:val="0"/>
          <w:numId w:val="0"/>
        </w:numPr>
        <w:spacing w:line="240" w:lineRule="auto"/>
        <w:ind w:leftChars="0"/>
        <w:jc w:val="both"/>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5.1.10. Deverá conter na Nota Fiscal, o número da Solicitação de Fornecimento e número de empenho referente ao produto.</w:t>
      </w:r>
    </w:p>
    <w:p w14:paraId="261B9D2A">
      <w:pPr>
        <w:pStyle w:val="223"/>
        <w:numPr>
          <w:ilvl w:val="0"/>
          <w:numId w:val="0"/>
        </w:numPr>
        <w:spacing w:line="240" w:lineRule="auto"/>
        <w:ind w:leftChars="0"/>
        <w:jc w:val="both"/>
        <w:rPr>
          <w:rFonts w:hint="default" w:ascii="Arial" w:hAnsi="Arial" w:eastAsia="Arial"/>
          <w:b w:val="0"/>
          <w:bCs w:val="0"/>
          <w:sz w:val="17"/>
          <w:szCs w:val="17"/>
          <w:rtl w:val="0"/>
          <w:lang w:val="pt-BR"/>
        </w:rPr>
      </w:pPr>
    </w:p>
    <w:p w14:paraId="0A3D13E6">
      <w:pPr>
        <w:pStyle w:val="223"/>
        <w:numPr>
          <w:ilvl w:val="2"/>
          <w:numId w:val="20"/>
        </w:numPr>
        <w:tabs>
          <w:tab w:val="left" w:pos="0"/>
          <w:tab w:val="left" w:pos="426"/>
        </w:tabs>
        <w:spacing w:line="240" w:lineRule="auto"/>
        <w:ind w:left="0" w:firstLine="0"/>
        <w:contextualSpacing w:val="0"/>
        <w:jc w:val="both"/>
        <w:rPr>
          <w:rFonts w:hint="default" w:ascii="Arial" w:hAnsi="Arial" w:cs="Arial"/>
          <w:b/>
          <w:bCs/>
          <w:sz w:val="17"/>
          <w:szCs w:val="17"/>
          <w:rtl w:val="0"/>
        </w:rPr>
      </w:pPr>
      <w:r>
        <w:rPr>
          <w:rFonts w:hint="default" w:ascii="Arial" w:hAnsi="Arial" w:cs="Arial"/>
          <w:b/>
          <w:bCs/>
          <w:sz w:val="17"/>
          <w:szCs w:val="17"/>
        </w:rPr>
        <w:t>Da Contratante:</w:t>
      </w:r>
    </w:p>
    <w:p w14:paraId="30599FD4">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.2.1. </w:t>
      </w:r>
      <w:r>
        <w:rPr>
          <w:rFonts w:hint="default" w:ascii="Arial" w:hAnsi="Arial" w:eastAsia="Arial"/>
          <w:b w:val="0"/>
          <w:bCs/>
          <w:sz w:val="17"/>
          <w:szCs w:val="17"/>
          <w:rtl w:val="0"/>
        </w:rPr>
        <w:t>Promover o acompanhamento e a fiscalização da execução do objeto da aquisição.</w:t>
      </w:r>
    </w:p>
    <w:p w14:paraId="1523B107">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114B05D8">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28E66171">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o(s) iten(s) e/ou que não satisfizerem aos padrões exigidos nas especificações e recomendações da contratante.</w:t>
      </w:r>
    </w:p>
    <w:p w14:paraId="735398A3">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a(s) entrega(s), após o prazo de execução estipulado pela CONTRATANTE.</w:t>
      </w:r>
    </w:p>
    <w:p w14:paraId="592A7295">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da Ata de Registro de Preços.</w:t>
      </w:r>
    </w:p>
    <w:p w14:paraId="20179BB7">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81"/>
        <w:numPr>
          <w:ilvl w:val="0"/>
          <w:numId w:val="0"/>
        </w:numPr>
        <w:spacing w:before="0" w:line="240" w:lineRule="auto"/>
        <w:rPr>
          <w:rFonts w:hint="default" w:ascii="Arial" w:hAnsi="Arial" w:eastAsia="Arial"/>
          <w:b w:val="0"/>
          <w:bCs/>
          <w:sz w:val="17"/>
          <w:szCs w:val="17"/>
          <w:rtl w:val="0"/>
        </w:rPr>
      </w:pPr>
    </w:p>
    <w:p w14:paraId="46C12B60">
      <w:pPr>
        <w:pStyle w:val="281"/>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6"/>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6"/>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6"/>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6"/>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6"/>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6"/>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6"/>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6"/>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6"/>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6"/>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61675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6"/>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14176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72173E91">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SECRETARIA/SETOR</w:t>
            </w:r>
          </w:p>
        </w:tc>
        <w:tc>
          <w:tcPr>
            <w:tcW w:w="4604" w:type="dxa"/>
            <w:vAlign w:val="center"/>
          </w:tcPr>
          <w:p w14:paraId="012D72AC">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CENTRO DE CUSTO</w:t>
            </w:r>
          </w:p>
        </w:tc>
      </w:tr>
      <w:tr w14:paraId="060F8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2BF6A453">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Fundo Municipal de Saúde</w:t>
            </w:r>
          </w:p>
        </w:tc>
        <w:tc>
          <w:tcPr>
            <w:tcW w:w="4604" w:type="dxa"/>
            <w:vAlign w:val="center"/>
          </w:tcPr>
          <w:p w14:paraId="50753DE8">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09</w:t>
            </w:r>
          </w:p>
        </w:tc>
      </w:tr>
      <w:tr w14:paraId="1BF7E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2C3313D">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Agricultura e Meio Ambiente</w:t>
            </w:r>
          </w:p>
        </w:tc>
        <w:tc>
          <w:tcPr>
            <w:tcW w:w="4604" w:type="dxa"/>
            <w:vAlign w:val="center"/>
          </w:tcPr>
          <w:p w14:paraId="0AC600C2">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15</w:t>
            </w:r>
          </w:p>
        </w:tc>
      </w:tr>
      <w:tr w14:paraId="3090C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5784EB2F">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Obras</w:t>
            </w:r>
          </w:p>
        </w:tc>
        <w:tc>
          <w:tcPr>
            <w:tcW w:w="4604" w:type="dxa"/>
            <w:vAlign w:val="center"/>
          </w:tcPr>
          <w:p w14:paraId="60AE7358">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12</w:t>
            </w:r>
          </w:p>
        </w:tc>
      </w:tr>
      <w:tr w14:paraId="4EF41E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C310BBB">
            <w:pPr>
              <w:widowControl w:val="0"/>
              <w:spacing w:after="0" w:line="240" w:lineRule="auto"/>
              <w:ind w:right="209"/>
              <w:jc w:val="center"/>
              <w:rPr>
                <w:rFonts w:ascii="Arial" w:hAnsi="Arial" w:eastAsia="Arial" w:cs="Arial"/>
                <w:b w:val="0"/>
                <w:bCs/>
                <w:sz w:val="17"/>
                <w:szCs w:val="17"/>
              </w:rPr>
            </w:pPr>
            <w:r>
              <w:rPr>
                <w:rFonts w:ascii="Arial" w:hAnsi="Arial" w:eastAsia="Arial" w:cs="Arial"/>
                <w:b w:val="0"/>
                <w:bCs/>
                <w:sz w:val="17"/>
                <w:szCs w:val="17"/>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0019FAE5">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16</w:t>
            </w:r>
          </w:p>
        </w:tc>
      </w:tr>
      <w:tr w14:paraId="13BCF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F253022">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3752E750">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2</w:t>
            </w:r>
          </w:p>
        </w:tc>
      </w:tr>
      <w:tr w14:paraId="03BE3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107DA42">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vAlign w:val="center"/>
          </w:tcPr>
          <w:p w14:paraId="15E8D501">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11</w:t>
            </w:r>
          </w:p>
        </w:tc>
      </w:tr>
      <w:tr w14:paraId="3FC04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1C694C3">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31C18C87">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17</w:t>
            </w:r>
          </w:p>
        </w:tc>
      </w:tr>
      <w:tr w14:paraId="50BD59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11BE844">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1FC0C72C">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w:t>
            </w:r>
          </w:p>
        </w:tc>
      </w:tr>
      <w:tr w14:paraId="45701A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4DFDB46">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1E0BA45C">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14</w:t>
            </w:r>
          </w:p>
        </w:tc>
      </w:tr>
      <w:tr w14:paraId="44E2B6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7A421A3">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4B16102F">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7</w:t>
            </w:r>
          </w:p>
        </w:tc>
      </w:tr>
      <w:tr w14:paraId="6E7E7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853C22A">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1F8D6A67">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4</w:t>
            </w:r>
          </w:p>
        </w:tc>
      </w:tr>
      <w:tr w14:paraId="22BB55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44B9DE5">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75BD9264">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10</w:t>
            </w:r>
          </w:p>
        </w:tc>
      </w:tr>
      <w:tr w14:paraId="54AB27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3ACB6A6">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482778B7">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13</w:t>
            </w:r>
          </w:p>
        </w:tc>
      </w:tr>
      <w:tr w14:paraId="49E722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A6DEE14">
            <w:pPr>
              <w:widowControl w:val="0"/>
              <w:spacing w:after="0" w:line="240" w:lineRule="auto"/>
              <w:ind w:right="-143"/>
              <w:jc w:val="center"/>
              <w:rPr>
                <w:rFonts w:ascii="Arial" w:hAnsi="Arial" w:eastAsia="Arial" w:cs="Arial"/>
                <w:b w:val="0"/>
                <w:bCs/>
                <w:sz w:val="17"/>
                <w:szCs w:val="17"/>
              </w:rPr>
            </w:pPr>
            <w:r>
              <w:rPr>
                <w:rFonts w:ascii="Arial" w:hAnsi="Arial" w:eastAsia="Arial" w:cs="Arial"/>
                <w:b w:val="0"/>
                <w:bCs/>
                <w:sz w:val="17"/>
                <w:szCs w:val="17"/>
              </w:rPr>
              <w:t>Procuradoria</w:t>
            </w:r>
          </w:p>
        </w:tc>
        <w:tc>
          <w:tcPr>
            <w:tcW w:w="4604" w:type="dxa"/>
            <w:tcBorders>
              <w:top w:val="single" w:color="000000" w:sz="4" w:space="0"/>
              <w:left w:val="single" w:color="000000" w:sz="4" w:space="0"/>
              <w:bottom w:val="single" w:color="000000" w:sz="4" w:space="0"/>
              <w:right w:val="single" w:color="000000" w:sz="4" w:space="0"/>
            </w:tcBorders>
            <w:vAlign w:val="center"/>
          </w:tcPr>
          <w:p w14:paraId="13E47DF5">
            <w:pPr>
              <w:widowControl w:val="0"/>
              <w:spacing w:after="0" w:line="240" w:lineRule="auto"/>
              <w:jc w:val="center"/>
              <w:rPr>
                <w:rFonts w:ascii="Arial" w:hAnsi="Arial" w:eastAsia="Arial" w:cs="Arial"/>
                <w:b w:val="0"/>
                <w:bCs/>
                <w:sz w:val="17"/>
                <w:szCs w:val="17"/>
              </w:rPr>
            </w:pPr>
            <w:r>
              <w:rPr>
                <w:rFonts w:ascii="Arial" w:hAnsi="Arial" w:eastAsia="Arial" w:cs="Arial"/>
                <w:b w:val="0"/>
                <w:bCs/>
                <w:sz w:val="17"/>
                <w:szCs w:val="17"/>
              </w:rPr>
              <w:t>03</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6"/>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7"/>
          <w:rFonts w:hint="default" w:ascii="Arial" w:hAnsi="Arial" w:cs="Arial"/>
          <w:b w:val="0"/>
          <w:bCs/>
          <w:sz w:val="17"/>
          <w:szCs w:val="17"/>
          <w:u w:val="none"/>
        </w:rPr>
        <w:t xml:space="preserve">IN nº 3/2018, art. 7º, </w:t>
      </w:r>
      <w:r>
        <w:rPr>
          <w:rStyle w:val="327"/>
          <w:rFonts w:hint="default" w:ascii="Arial" w:hAnsi="Arial" w:cs="Arial"/>
          <w:b w:val="0"/>
          <w:bCs/>
          <w:i/>
          <w:iCs/>
          <w:sz w:val="17"/>
          <w:szCs w:val="17"/>
          <w:u w:val="none"/>
        </w:rPr>
        <w:t>caput</w:t>
      </w:r>
      <w:r>
        <w:rPr>
          <w:rStyle w:val="327"/>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w:t>
      </w:r>
      <w:r>
        <w:rPr>
          <w:rFonts w:hint="default" w:ascii="Arial" w:hAnsi="Arial" w:cs="Arial"/>
          <w:b/>
          <w:bCs/>
          <w:sz w:val="17"/>
          <w:szCs w:val="17"/>
          <w:lang w:val="pt-BR"/>
        </w:rPr>
        <w:t xml:space="preserve">: </w:t>
      </w:r>
      <w:r>
        <w:rPr>
          <w:rFonts w:hint="default" w:ascii="Arial" w:hAnsi="Arial" w:cs="Arial"/>
          <w:b/>
          <w:bCs/>
          <w:sz w:val="17"/>
          <w:szCs w:val="17"/>
        </w:rPr>
        <w:t>NEGOCIAÇÃO DE PREÇOS REGISTRADOS</w:t>
      </w:r>
    </w:p>
    <w:p w14:paraId="2C36FFFC">
      <w:pPr>
        <w:pStyle w:val="306"/>
        <w:numPr>
          <w:ilvl w:val="1"/>
          <w:numId w:val="21"/>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9"/>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9"/>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9"/>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9"/>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6"/>
        <w:numPr>
          <w:ilvl w:val="1"/>
          <w:numId w:val="21"/>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9"/>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9"/>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9"/>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9"/>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9"/>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0B96F135">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w:t>
      </w:r>
      <w:r>
        <w:rPr>
          <w:rFonts w:hint="default" w:ascii="Arial" w:hAnsi="Arial" w:cs="Arial"/>
          <w:b/>
          <w:bCs/>
          <w:sz w:val="17"/>
          <w:szCs w:val="17"/>
          <w:lang w:val="pt-BR"/>
        </w:rPr>
        <w:t xml:space="preserve">: </w:t>
      </w:r>
      <w:r>
        <w:rPr>
          <w:rFonts w:hint="default" w:ascii="Arial" w:hAnsi="Arial" w:cs="Arial"/>
          <w:b/>
          <w:bCs/>
          <w:sz w:val="17"/>
          <w:szCs w:val="17"/>
        </w:rPr>
        <w:t>CANCELAMENTO DO REGISTRO DO LICITANTE VENCEDOR E DOS PREÇOS REGISTRADOS</w:t>
      </w:r>
    </w:p>
    <w:p w14:paraId="695BE0E4">
      <w:pPr>
        <w:pStyle w:val="306"/>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3"/>
        <w:numPr>
          <w:ilvl w:val="0"/>
          <w:numId w:val="22"/>
        </w:numPr>
        <w:spacing w:line="240" w:lineRule="auto"/>
        <w:contextualSpacing w:val="0"/>
        <w:jc w:val="both"/>
        <w:rPr>
          <w:rFonts w:hint="default" w:ascii="Arial" w:hAnsi="Arial" w:cs="Arial" w:eastAsiaTheme="minorHAnsi"/>
          <w:vanish/>
          <w:sz w:val="17"/>
          <w:szCs w:val="17"/>
          <w:lang w:eastAsia="en-US"/>
        </w:rPr>
      </w:pPr>
    </w:p>
    <w:p w14:paraId="28F0D88B">
      <w:pPr>
        <w:pStyle w:val="223"/>
        <w:numPr>
          <w:ilvl w:val="0"/>
          <w:numId w:val="22"/>
        </w:numPr>
        <w:spacing w:line="240" w:lineRule="auto"/>
        <w:contextualSpacing w:val="0"/>
        <w:jc w:val="both"/>
        <w:rPr>
          <w:rFonts w:hint="default" w:ascii="Arial" w:hAnsi="Arial" w:cs="Arial" w:eastAsiaTheme="minorHAnsi"/>
          <w:vanish/>
          <w:sz w:val="17"/>
          <w:szCs w:val="17"/>
          <w:lang w:eastAsia="en-US"/>
        </w:rPr>
      </w:pPr>
    </w:p>
    <w:p w14:paraId="57E40F42">
      <w:pPr>
        <w:pStyle w:val="223"/>
        <w:numPr>
          <w:ilvl w:val="0"/>
          <w:numId w:val="22"/>
        </w:numPr>
        <w:spacing w:line="240" w:lineRule="auto"/>
        <w:contextualSpacing w:val="0"/>
        <w:jc w:val="both"/>
        <w:rPr>
          <w:rFonts w:hint="default" w:ascii="Arial" w:hAnsi="Arial" w:cs="Arial" w:eastAsiaTheme="minorHAnsi"/>
          <w:vanish/>
          <w:sz w:val="17"/>
          <w:szCs w:val="17"/>
          <w:lang w:eastAsia="en-US"/>
        </w:rPr>
      </w:pPr>
    </w:p>
    <w:p w14:paraId="2BF879A8">
      <w:pPr>
        <w:pStyle w:val="223"/>
        <w:numPr>
          <w:ilvl w:val="0"/>
          <w:numId w:val="22"/>
        </w:numPr>
        <w:spacing w:line="240" w:lineRule="auto"/>
        <w:contextualSpacing w:val="0"/>
        <w:jc w:val="both"/>
        <w:rPr>
          <w:rFonts w:hint="default" w:ascii="Arial" w:hAnsi="Arial" w:cs="Arial" w:eastAsiaTheme="minorHAnsi"/>
          <w:vanish/>
          <w:sz w:val="17"/>
          <w:szCs w:val="17"/>
          <w:lang w:eastAsia="en-US"/>
        </w:rPr>
      </w:pPr>
    </w:p>
    <w:p w14:paraId="624CA3DE">
      <w:pPr>
        <w:pStyle w:val="223"/>
        <w:numPr>
          <w:ilvl w:val="0"/>
          <w:numId w:val="22"/>
        </w:numPr>
        <w:spacing w:line="240" w:lineRule="auto"/>
        <w:contextualSpacing w:val="0"/>
        <w:jc w:val="both"/>
        <w:rPr>
          <w:rFonts w:hint="default" w:ascii="Arial" w:hAnsi="Arial" w:cs="Arial" w:eastAsiaTheme="minorHAnsi"/>
          <w:vanish/>
          <w:sz w:val="17"/>
          <w:szCs w:val="17"/>
          <w:lang w:eastAsia="en-US"/>
        </w:rPr>
      </w:pPr>
    </w:p>
    <w:p w14:paraId="28D09D34">
      <w:pPr>
        <w:pStyle w:val="223"/>
        <w:numPr>
          <w:ilvl w:val="0"/>
          <w:numId w:val="22"/>
        </w:numPr>
        <w:spacing w:line="240" w:lineRule="auto"/>
        <w:contextualSpacing w:val="0"/>
        <w:jc w:val="both"/>
        <w:rPr>
          <w:rFonts w:hint="default" w:ascii="Arial" w:hAnsi="Arial" w:cs="Arial" w:eastAsiaTheme="minorHAnsi"/>
          <w:vanish/>
          <w:sz w:val="17"/>
          <w:szCs w:val="17"/>
          <w:lang w:eastAsia="en-US"/>
        </w:rPr>
      </w:pPr>
    </w:p>
    <w:p w14:paraId="0EF2EC05">
      <w:pPr>
        <w:pStyle w:val="223"/>
        <w:numPr>
          <w:ilvl w:val="0"/>
          <w:numId w:val="22"/>
        </w:numPr>
        <w:spacing w:line="240" w:lineRule="auto"/>
        <w:contextualSpacing w:val="0"/>
        <w:jc w:val="both"/>
        <w:rPr>
          <w:rFonts w:hint="default" w:ascii="Arial" w:hAnsi="Arial" w:cs="Arial" w:eastAsiaTheme="minorHAnsi"/>
          <w:vanish/>
          <w:sz w:val="17"/>
          <w:szCs w:val="17"/>
          <w:lang w:eastAsia="en-US"/>
        </w:rPr>
      </w:pPr>
    </w:p>
    <w:p w14:paraId="2060E361">
      <w:pPr>
        <w:pStyle w:val="223"/>
        <w:numPr>
          <w:ilvl w:val="0"/>
          <w:numId w:val="22"/>
        </w:numPr>
        <w:spacing w:line="240" w:lineRule="auto"/>
        <w:contextualSpacing w:val="0"/>
        <w:jc w:val="both"/>
        <w:rPr>
          <w:rFonts w:hint="default" w:ascii="Arial" w:hAnsi="Arial" w:cs="Arial" w:eastAsiaTheme="minorHAnsi"/>
          <w:vanish/>
          <w:sz w:val="17"/>
          <w:szCs w:val="17"/>
          <w:lang w:eastAsia="en-US"/>
        </w:rPr>
      </w:pPr>
    </w:p>
    <w:p w14:paraId="323F2EB6">
      <w:pPr>
        <w:pStyle w:val="223"/>
        <w:numPr>
          <w:ilvl w:val="1"/>
          <w:numId w:val="22"/>
        </w:numPr>
        <w:spacing w:line="240" w:lineRule="auto"/>
        <w:contextualSpacing w:val="0"/>
        <w:jc w:val="both"/>
        <w:rPr>
          <w:rFonts w:hint="default" w:ascii="Arial" w:hAnsi="Arial" w:cs="Arial" w:eastAsiaTheme="minorHAnsi"/>
          <w:vanish/>
          <w:sz w:val="17"/>
          <w:szCs w:val="17"/>
          <w:lang w:eastAsia="en-US"/>
        </w:rPr>
      </w:pPr>
    </w:p>
    <w:p w14:paraId="0E3F83A3">
      <w:pPr>
        <w:pStyle w:val="319"/>
        <w:numPr>
          <w:ilvl w:val="2"/>
          <w:numId w:val="22"/>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9"/>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9"/>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9"/>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21"/>
        <w:numPr>
          <w:ilvl w:val="3"/>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6"/>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6"/>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6"/>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9"/>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9"/>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9"/>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6"/>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9"/>
        <w:numPr>
          <w:ilvl w:val="0"/>
          <w:numId w:val="23"/>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6"/>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6"/>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6"/>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3"/>
          <w:rFonts w:hint="default" w:ascii="Arial" w:hAnsi="Arial" w:eastAsia="Arial" w:cs="Arial"/>
          <w:sz w:val="17"/>
          <w:szCs w:val="17"/>
        </w:rPr>
        <w:t xml:space="preserve">art. 156, §2º, da </w:t>
      </w:r>
      <w:bookmarkStart w:id="57" w:name="_Hlk114504069"/>
      <w:r>
        <w:rPr>
          <w:rStyle w:val="13"/>
          <w:rFonts w:hint="default" w:ascii="Arial" w:hAnsi="Arial" w:eastAsia="Arial" w:cs="Arial"/>
          <w:sz w:val="17"/>
          <w:szCs w:val="17"/>
        </w:rPr>
        <w:t>Lei nº 14.133, de 2021</w:t>
      </w:r>
      <w:bookmarkEnd w:id="57"/>
      <w:r>
        <w:rPr>
          <w:rStyle w:val="13"/>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3"/>
          <w:rFonts w:hint="default" w:ascii="Arial" w:hAnsi="Arial" w:eastAsia="Arial" w:cs="Arial"/>
          <w:sz w:val="17"/>
          <w:szCs w:val="17"/>
        </w:rPr>
        <w:t>art. 156, § 4º,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3"/>
          <w:rFonts w:hint="default" w:ascii="Arial" w:hAnsi="Arial" w:eastAsia="Arial" w:cs="Arial"/>
          <w:sz w:val="17"/>
          <w:szCs w:val="17"/>
        </w:rPr>
        <w:t>art. 156, §5º,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5"/>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5"/>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3"/>
          <w:rFonts w:hint="default" w:ascii="Arial" w:hAnsi="Arial" w:cs="Arial"/>
          <w:sz w:val="17"/>
          <w:szCs w:val="17"/>
        </w:rPr>
        <w:t>art. 156, §9º,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1C30C96">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3"/>
          <w:rFonts w:hint="default" w:ascii="Arial" w:hAnsi="Arial" w:cs="Arial"/>
          <w:sz w:val="17"/>
          <w:szCs w:val="17"/>
        </w:rPr>
        <w:t>art. 156, §7º,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4E56E2E6">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3"/>
          <w:rFonts w:hint="default" w:ascii="Arial" w:hAnsi="Arial" w:cs="Arial"/>
          <w:sz w:val="17"/>
          <w:szCs w:val="17"/>
        </w:rPr>
        <w:t>art. 157,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92DBB20">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3"/>
          <w:rFonts w:hint="default" w:ascii="Arial" w:hAnsi="Arial" w:cs="Arial"/>
          <w:sz w:val="17"/>
          <w:szCs w:val="17"/>
        </w:rPr>
        <w:t>art. 156, §8º,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63C494F8">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3"/>
          <w:rFonts w:hint="default" w:ascii="Arial" w:hAnsi="Arial" w:cs="Arial"/>
          <w:sz w:val="17"/>
          <w:szCs w:val="17"/>
        </w:rPr>
        <w:t>art. 158 da Lei nº 14.133, de 2021</w:t>
      </w:r>
      <w:r>
        <w:rPr>
          <w:rStyle w:val="13"/>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3"/>
          <w:rFonts w:hint="default" w:ascii="Arial" w:hAnsi="Arial" w:cs="Arial"/>
          <w:sz w:val="17"/>
          <w:szCs w:val="17"/>
        </w:rPr>
        <w:t>art. 156, §1º,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5E2A5E77">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3"/>
          <w:rFonts w:hint="default" w:ascii="Arial" w:hAnsi="Arial" w:cs="Arial"/>
          <w:sz w:val="17"/>
          <w:szCs w:val="17"/>
        </w:rPr>
        <w:t>na Lei nº 12.846, de 2013</w:t>
      </w:r>
      <w:r>
        <w:rPr>
          <w:rStyle w:val="13"/>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3"/>
          <w:rFonts w:hint="default" w:ascii="Arial" w:hAnsi="Arial" w:cs="Arial"/>
          <w:sz w:val="17"/>
          <w:szCs w:val="17"/>
        </w:rPr>
        <w:t>Lei (art. 159</w:t>
      </w:r>
      <w:r>
        <w:rPr>
          <w:rStyle w:val="13"/>
          <w:rFonts w:hint="default" w:ascii="Arial" w:hAnsi="Arial" w:cs="Arial"/>
          <w:sz w:val="17"/>
          <w:szCs w:val="17"/>
        </w:rPr>
        <w:fldChar w:fldCharType="end"/>
      </w:r>
      <w:r>
        <w:rPr>
          <w:rFonts w:hint="default" w:ascii="Arial" w:hAnsi="Arial" w:cs="Arial"/>
          <w:sz w:val="17"/>
          <w:szCs w:val="17"/>
        </w:rPr>
        <w:t>).</w:t>
      </w:r>
    </w:p>
    <w:p w14:paraId="39BFE91C">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3"/>
          <w:rFonts w:hint="default" w:ascii="Arial" w:hAnsi="Arial" w:cs="Arial"/>
          <w:sz w:val="17"/>
          <w:szCs w:val="17"/>
        </w:rPr>
        <w:t>art. 160, da Lei nº 14.133, de 2021</w:t>
      </w:r>
      <w:r>
        <w:rPr>
          <w:rStyle w:val="13"/>
          <w:rFonts w:hint="default" w:ascii="Arial" w:hAnsi="Arial" w:cs="Arial"/>
          <w:sz w:val="17"/>
          <w:szCs w:val="17"/>
        </w:rPr>
        <w:fldChar w:fldCharType="end"/>
      </w:r>
      <w:r>
        <w:rPr>
          <w:rFonts w:hint="default" w:ascii="Arial" w:hAnsi="Arial" w:cs="Arial"/>
          <w:sz w:val="17"/>
          <w:szCs w:val="17"/>
        </w:rPr>
        <w:t>)</w:t>
      </w:r>
    </w:p>
    <w:p w14:paraId="7EF7DB72">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3"/>
          <w:rFonts w:hint="default" w:ascii="Arial" w:hAnsi="Arial" w:cs="Arial"/>
          <w:sz w:val="17"/>
          <w:szCs w:val="17"/>
        </w:rPr>
        <w:t>Art. 161, da Lei nº 14.133, de 2021</w:t>
      </w:r>
      <w:r>
        <w:rPr>
          <w:rStyle w:val="13"/>
          <w:rFonts w:hint="default" w:ascii="Arial" w:hAnsi="Arial" w:cs="Arial"/>
          <w:sz w:val="17"/>
          <w:szCs w:val="17"/>
        </w:rPr>
        <w:fldChar w:fldCharType="end"/>
      </w:r>
      <w:r>
        <w:rPr>
          <w:rFonts w:hint="default" w:ascii="Arial" w:hAnsi="Arial" w:cs="Arial"/>
          <w:sz w:val="17"/>
          <w:szCs w:val="17"/>
        </w:rPr>
        <w:t>)</w:t>
      </w:r>
    </w:p>
    <w:p w14:paraId="025610E9">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3"/>
          <w:rFonts w:hint="default" w:ascii="Arial" w:hAnsi="Arial" w:cs="Arial"/>
          <w:sz w:val="17"/>
          <w:szCs w:val="17"/>
        </w:rPr>
        <w:t>art. 163 da Lei nº 14.133/21.</w:t>
      </w:r>
      <w:r>
        <w:rPr>
          <w:rStyle w:val="13"/>
          <w:rFonts w:hint="default" w:ascii="Arial" w:hAnsi="Arial" w:cs="Arial"/>
          <w:sz w:val="17"/>
          <w:szCs w:val="17"/>
        </w:rPr>
        <w:fldChar w:fldCharType="end"/>
      </w:r>
    </w:p>
    <w:p w14:paraId="47966773">
      <w:pPr>
        <w:spacing w:line="240" w:lineRule="auto"/>
        <w:jc w:val="both"/>
        <w:rPr>
          <w:rStyle w:val="13"/>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3"/>
          <w:rFonts w:hint="default" w:ascii="Arial" w:hAnsi="Arial" w:cs="Arial"/>
          <w:sz w:val="17"/>
          <w:szCs w:val="17"/>
        </w:rPr>
        <w:t>Instrução Normativa SEGES/ME nº 26, de 13 de abril de 2022</w:t>
      </w:r>
      <w:r>
        <w:rPr>
          <w:rStyle w:val="13"/>
          <w:rFonts w:hint="default" w:ascii="Arial" w:hAnsi="Arial" w:cs="Arial"/>
          <w:sz w:val="17"/>
          <w:szCs w:val="17"/>
        </w:rPr>
        <w:fldChar w:fldCharType="end"/>
      </w:r>
      <w:r>
        <w:rPr>
          <w:rStyle w:val="13"/>
          <w:rFonts w:hint="default" w:ascii="Arial" w:hAnsi="Arial" w:cs="Arial"/>
          <w:sz w:val="17"/>
          <w:szCs w:val="17"/>
          <w:lang w:val="pt-BR"/>
        </w:rPr>
        <w:t>.</w:t>
      </w:r>
    </w:p>
    <w:p w14:paraId="35DA58DB">
      <w:pPr>
        <w:spacing w:line="240" w:lineRule="auto"/>
        <w:jc w:val="both"/>
        <w:rPr>
          <w:rStyle w:val="13"/>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w:t>
      </w:r>
      <w:r>
        <w:rPr>
          <w:rFonts w:hint="default" w:ascii="Arial" w:hAnsi="Arial" w:cs="Arial"/>
          <w:b/>
          <w:bCs/>
          <w:sz w:val="17"/>
          <w:szCs w:val="17"/>
          <w:lang w:val="pt-BR"/>
        </w:rPr>
        <w:t xml:space="preserve">: </w:t>
      </w:r>
      <w:r>
        <w:rPr>
          <w:rFonts w:hint="default" w:ascii="Arial" w:hAnsi="Arial" w:cs="Arial"/>
          <w:b/>
          <w:bCs/>
          <w:sz w:val="17"/>
          <w:szCs w:val="17"/>
        </w:rPr>
        <w:t>DA ALTERAÇÃO OU ATUALIZAÇÃO DOS PREÇOS REGISTRADOS</w:t>
      </w:r>
    </w:p>
    <w:p w14:paraId="15A8EF68">
      <w:pPr>
        <w:pStyle w:val="306"/>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3"/>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tbl>
      <w:tblPr>
        <w:tblStyle w:val="6"/>
        <w:tblpPr w:leftFromText="141" w:rightFromText="141" w:vertAnchor="text" w:horzAnchor="page" w:tblpXSpec="center" w:tblpY="75"/>
        <w:tblW w:w="9791" w:type="dxa"/>
        <w:jc w:val="center"/>
        <w:tblLayout w:type="fixed"/>
        <w:tblCellMar>
          <w:top w:w="0" w:type="dxa"/>
          <w:left w:w="108" w:type="dxa"/>
          <w:bottom w:w="0" w:type="dxa"/>
          <w:right w:w="108" w:type="dxa"/>
        </w:tblCellMar>
      </w:tblPr>
      <w:tblGrid>
        <w:gridCol w:w="5465"/>
        <w:gridCol w:w="4326"/>
      </w:tblGrid>
      <w:tr w14:paraId="543DDFDE">
        <w:tblPrEx>
          <w:tblCellMar>
            <w:top w:w="0" w:type="dxa"/>
            <w:left w:w="108" w:type="dxa"/>
            <w:bottom w:w="0" w:type="dxa"/>
            <w:right w:w="108" w:type="dxa"/>
          </w:tblCellMar>
        </w:tblPrEx>
        <w:trPr>
          <w:cantSplit/>
          <w:trHeight w:val="90" w:hRule="atLeas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32C101ED">
            <w:pPr>
              <w:keepNext w:val="0"/>
              <w:keepLines w:val="0"/>
              <w:pageBreakBefore w:val="0"/>
              <w:widowControl w:val="0"/>
              <w:kinsoku/>
              <w:wordWrap/>
              <w:overflowPunct/>
              <w:topLinePunct w:val="0"/>
              <w:autoSpaceDE/>
              <w:autoSpaceDN/>
              <w:bidi w:val="0"/>
              <w:adjustRightInd/>
              <w:snapToGrid/>
              <w:spacing w:after="0" w:line="240" w:lineRule="auto"/>
              <w:ind w:right="0"/>
              <w:jc w:val="center"/>
              <w:textAlignment w:val="auto"/>
              <w:rPr>
                <w:rFonts w:ascii="Arial" w:hAnsi="Arial" w:eastAsia="Arial" w:cs="Arial"/>
                <w:b/>
                <w:sz w:val="17"/>
                <w:szCs w:val="17"/>
              </w:rPr>
            </w:pPr>
            <w:r>
              <w:rPr>
                <w:rFonts w:ascii="Arial" w:hAnsi="Arial" w:eastAsia="Arial" w:cs="Arial"/>
                <w:b/>
                <w:sz w:val="17"/>
                <w:szCs w:val="17"/>
              </w:rPr>
              <w:t>Secretaria/Setor</w:t>
            </w:r>
          </w:p>
        </w:tc>
        <w:tc>
          <w:tcPr>
            <w:tcW w:w="4326" w:type="dxa"/>
            <w:tcBorders>
              <w:top w:val="single" w:color="000000" w:sz="4" w:space="0"/>
              <w:left w:val="single" w:color="000000" w:sz="4" w:space="0"/>
              <w:bottom w:val="single" w:color="000000" w:sz="4" w:space="0"/>
              <w:right w:val="single" w:color="000000" w:sz="4" w:space="0"/>
            </w:tcBorders>
            <w:vAlign w:val="center"/>
          </w:tcPr>
          <w:p w14:paraId="5252295F">
            <w:pPr>
              <w:keepNext w:val="0"/>
              <w:keepLines w:val="0"/>
              <w:pageBreakBefore w:val="0"/>
              <w:widowControl w:val="0"/>
              <w:kinsoku/>
              <w:wordWrap/>
              <w:overflowPunct/>
              <w:topLinePunct w:val="0"/>
              <w:autoSpaceDE/>
              <w:autoSpaceDN/>
              <w:bidi w:val="0"/>
              <w:adjustRightInd/>
              <w:snapToGrid/>
              <w:spacing w:after="0" w:line="240" w:lineRule="auto"/>
              <w:ind w:right="0"/>
              <w:jc w:val="center"/>
              <w:textAlignment w:val="auto"/>
              <w:rPr>
                <w:rFonts w:ascii="Arial" w:hAnsi="Arial" w:eastAsia="Arial" w:cs="Arial"/>
                <w:b/>
                <w:sz w:val="17"/>
                <w:szCs w:val="17"/>
              </w:rPr>
            </w:pPr>
            <w:r>
              <w:rPr>
                <w:rFonts w:ascii="Arial" w:hAnsi="Arial" w:eastAsia="Arial" w:cs="Arial"/>
                <w:b/>
                <w:sz w:val="17"/>
                <w:szCs w:val="17"/>
              </w:rPr>
              <w:t>Fiscal</w:t>
            </w:r>
          </w:p>
        </w:tc>
      </w:tr>
      <w:tr w14:paraId="25DF6A02">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2F6F6223">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Saúde</w:t>
            </w:r>
          </w:p>
        </w:tc>
        <w:tc>
          <w:tcPr>
            <w:tcW w:w="4326" w:type="dxa"/>
            <w:tcBorders>
              <w:top w:val="single" w:color="000000" w:sz="4" w:space="0"/>
              <w:left w:val="single" w:color="000000" w:sz="4" w:space="0"/>
              <w:bottom w:val="single" w:color="000000" w:sz="4" w:space="0"/>
              <w:right w:val="single" w:color="000000" w:sz="4" w:space="0"/>
            </w:tcBorders>
            <w:vAlign w:val="center"/>
          </w:tcPr>
          <w:p w14:paraId="634B21E9">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cs="Arial"/>
                <w:sz w:val="17"/>
                <w:szCs w:val="17"/>
              </w:rPr>
              <w:t>Jonas de Souza Barbosa</w:t>
            </w:r>
          </w:p>
        </w:tc>
      </w:tr>
      <w:tr w14:paraId="3CABA3F8">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61EC5E15">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Agricultura e Meio Ambiente</w:t>
            </w:r>
          </w:p>
        </w:tc>
        <w:tc>
          <w:tcPr>
            <w:tcW w:w="4326" w:type="dxa"/>
            <w:tcBorders>
              <w:top w:val="single" w:color="000000" w:sz="4" w:space="0"/>
              <w:left w:val="single" w:color="000000" w:sz="4" w:space="0"/>
              <w:bottom w:val="single" w:color="000000" w:sz="4" w:space="0"/>
              <w:right w:val="single" w:color="000000" w:sz="4" w:space="0"/>
            </w:tcBorders>
            <w:vAlign w:val="center"/>
          </w:tcPr>
          <w:p w14:paraId="150DA9BD">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Tiago Viana Gonçalves dos Santos</w:t>
            </w:r>
          </w:p>
        </w:tc>
      </w:tr>
      <w:tr w14:paraId="1B86E845">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4BA3955E">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Obras</w:t>
            </w:r>
          </w:p>
        </w:tc>
        <w:tc>
          <w:tcPr>
            <w:tcW w:w="4326" w:type="dxa"/>
            <w:tcBorders>
              <w:top w:val="single" w:color="000000" w:sz="4" w:space="0"/>
              <w:left w:val="single" w:color="000000" w:sz="4" w:space="0"/>
              <w:bottom w:val="single" w:color="000000" w:sz="4" w:space="0"/>
              <w:right w:val="single" w:color="000000" w:sz="4" w:space="0"/>
            </w:tcBorders>
            <w:vAlign w:val="center"/>
          </w:tcPr>
          <w:p w14:paraId="6A407C29">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Adriano Ferreira de Freitas</w:t>
            </w:r>
          </w:p>
        </w:tc>
      </w:tr>
      <w:tr w14:paraId="7BF761DA">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372842D7">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Secretaria de Desenvolvimento Econômico e Gestão Institucional</w:t>
            </w:r>
          </w:p>
        </w:tc>
        <w:tc>
          <w:tcPr>
            <w:tcW w:w="4326" w:type="dxa"/>
            <w:tcBorders>
              <w:top w:val="single" w:color="000000" w:sz="4" w:space="0"/>
              <w:left w:val="single" w:color="000000" w:sz="4" w:space="0"/>
              <w:bottom w:val="single" w:color="000000" w:sz="4" w:space="0"/>
              <w:right w:val="single" w:color="000000" w:sz="4" w:space="0"/>
            </w:tcBorders>
            <w:vAlign w:val="center"/>
          </w:tcPr>
          <w:p w14:paraId="5D280F85">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cs="Arial"/>
                <w:sz w:val="17"/>
                <w:szCs w:val="17"/>
              </w:rPr>
              <w:t>Raphael Ferreira Arqueti</w:t>
            </w:r>
          </w:p>
        </w:tc>
      </w:tr>
      <w:tr w14:paraId="46A5B5AC">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5ED5CA86">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Administração</w:t>
            </w:r>
          </w:p>
        </w:tc>
        <w:tc>
          <w:tcPr>
            <w:tcW w:w="4326" w:type="dxa"/>
            <w:tcBorders>
              <w:top w:val="single" w:color="000000" w:sz="4" w:space="0"/>
              <w:left w:val="single" w:color="000000" w:sz="4" w:space="0"/>
              <w:bottom w:val="single" w:color="000000" w:sz="4" w:space="0"/>
              <w:right w:val="single" w:color="000000" w:sz="4" w:space="0"/>
            </w:tcBorders>
            <w:vAlign w:val="center"/>
          </w:tcPr>
          <w:p w14:paraId="3BBB1EDA">
            <w:pPr>
              <w:keepNext w:val="0"/>
              <w:keepLines w:val="0"/>
              <w:pageBreakBefore w:val="0"/>
              <w:kinsoku/>
              <w:wordWrap/>
              <w:overflowPunct/>
              <w:topLinePunct w:val="0"/>
              <w:autoSpaceDE/>
              <w:autoSpaceDN/>
              <w:bidi w:val="0"/>
              <w:adjustRightInd/>
              <w:snapToGrid/>
              <w:spacing w:after="0" w:line="240" w:lineRule="auto"/>
              <w:ind w:right="0"/>
              <w:jc w:val="both"/>
              <w:textAlignment w:val="auto"/>
              <w:rPr>
                <w:rFonts w:ascii="Arial" w:hAnsi="Arial" w:cs="Arial"/>
                <w:sz w:val="17"/>
                <w:szCs w:val="17"/>
              </w:rPr>
            </w:pPr>
            <w:r>
              <w:rPr>
                <w:rFonts w:ascii="Arial" w:hAnsi="Arial" w:cs="Arial"/>
                <w:sz w:val="17"/>
                <w:szCs w:val="17"/>
              </w:rPr>
              <w:t>Maria Fernanda Gonçalves Gail</w:t>
            </w:r>
          </w:p>
        </w:tc>
      </w:tr>
      <w:tr w14:paraId="0D731268">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167DBD15">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Cultura e Turismo</w:t>
            </w:r>
          </w:p>
        </w:tc>
        <w:tc>
          <w:tcPr>
            <w:tcW w:w="4326" w:type="dxa"/>
            <w:tcBorders>
              <w:top w:val="single" w:color="000000" w:sz="4" w:space="0"/>
              <w:left w:val="single" w:color="000000" w:sz="4" w:space="0"/>
              <w:bottom w:val="single" w:color="000000" w:sz="4" w:space="0"/>
              <w:right w:val="single" w:color="000000" w:sz="4" w:space="0"/>
            </w:tcBorders>
            <w:vAlign w:val="center"/>
          </w:tcPr>
          <w:p w14:paraId="7C419A3F">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Carolina Paiva Neves Frade da Cruz</w:t>
            </w:r>
          </w:p>
        </w:tc>
      </w:tr>
      <w:tr w14:paraId="03286E1C">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1EC57C33">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Esportes</w:t>
            </w:r>
          </w:p>
        </w:tc>
        <w:tc>
          <w:tcPr>
            <w:tcW w:w="4326" w:type="dxa"/>
            <w:tcBorders>
              <w:top w:val="single" w:color="000000" w:sz="4" w:space="0"/>
              <w:left w:val="single" w:color="000000" w:sz="4" w:space="0"/>
              <w:bottom w:val="single" w:color="000000" w:sz="4" w:space="0"/>
              <w:right w:val="single" w:color="000000" w:sz="4" w:space="0"/>
            </w:tcBorders>
            <w:vAlign w:val="center"/>
          </w:tcPr>
          <w:p w14:paraId="3F55F419">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 xml:space="preserve">Rafael Carvalho </w:t>
            </w:r>
          </w:p>
        </w:tc>
      </w:tr>
      <w:tr w14:paraId="65E234CF">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53E783AB">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Gabinete do Prefeito</w:t>
            </w:r>
          </w:p>
        </w:tc>
        <w:tc>
          <w:tcPr>
            <w:tcW w:w="4326" w:type="dxa"/>
            <w:tcBorders>
              <w:top w:val="single" w:color="000000" w:sz="4" w:space="0"/>
              <w:left w:val="single" w:color="000000" w:sz="4" w:space="0"/>
              <w:bottom w:val="single" w:color="000000" w:sz="4" w:space="0"/>
              <w:right w:val="single" w:color="000000" w:sz="4" w:space="0"/>
            </w:tcBorders>
            <w:vAlign w:val="center"/>
          </w:tcPr>
          <w:p w14:paraId="73B34BD3">
            <w:pPr>
              <w:keepNext w:val="0"/>
              <w:keepLines w:val="0"/>
              <w:pageBreakBefore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cs="Arial"/>
                <w:sz w:val="17"/>
                <w:szCs w:val="17"/>
              </w:rPr>
              <w:t>Carolina Ferraz Morais</w:t>
            </w:r>
          </w:p>
        </w:tc>
      </w:tr>
      <w:tr w14:paraId="0FDE320C">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3E277349">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CATRANS</w:t>
            </w:r>
          </w:p>
        </w:tc>
        <w:tc>
          <w:tcPr>
            <w:tcW w:w="4326" w:type="dxa"/>
            <w:tcBorders>
              <w:top w:val="single" w:color="000000" w:sz="4" w:space="0"/>
              <w:left w:val="single" w:color="000000" w:sz="4" w:space="0"/>
              <w:bottom w:val="single" w:color="000000" w:sz="4" w:space="0"/>
              <w:right w:val="single" w:color="000000" w:sz="4" w:space="0"/>
            </w:tcBorders>
            <w:vAlign w:val="center"/>
          </w:tcPr>
          <w:p w14:paraId="02104820">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Rogério Werneck Athouguia</w:t>
            </w:r>
          </w:p>
        </w:tc>
      </w:tr>
      <w:tr w14:paraId="065782BC">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5B2AB114">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Desenvolvimento Social</w:t>
            </w:r>
          </w:p>
        </w:tc>
        <w:tc>
          <w:tcPr>
            <w:tcW w:w="4326" w:type="dxa"/>
            <w:tcBorders>
              <w:top w:val="single" w:color="000000" w:sz="4" w:space="0"/>
              <w:left w:val="single" w:color="000000" w:sz="4" w:space="0"/>
              <w:bottom w:val="single" w:color="000000" w:sz="4" w:space="0"/>
              <w:right w:val="single" w:color="000000" w:sz="4" w:space="0"/>
            </w:tcBorders>
            <w:vAlign w:val="center"/>
          </w:tcPr>
          <w:p w14:paraId="5B700ED8">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Carla da Rocha Patrício</w:t>
            </w:r>
          </w:p>
        </w:tc>
      </w:tr>
      <w:tr w14:paraId="77508D07">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0C7EDF1B">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Fazenda</w:t>
            </w:r>
          </w:p>
        </w:tc>
        <w:tc>
          <w:tcPr>
            <w:tcW w:w="4326" w:type="dxa"/>
            <w:tcBorders>
              <w:top w:val="single" w:color="000000" w:sz="4" w:space="0"/>
              <w:left w:val="single" w:color="000000" w:sz="4" w:space="0"/>
              <w:bottom w:val="single" w:color="000000" w:sz="4" w:space="0"/>
              <w:right w:val="single" w:color="000000" w:sz="4" w:space="0"/>
            </w:tcBorders>
            <w:vAlign w:val="center"/>
          </w:tcPr>
          <w:p w14:paraId="2E1FE59E">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 xml:space="preserve">Tábatha Moreira Grôpo </w:t>
            </w:r>
          </w:p>
        </w:tc>
      </w:tr>
      <w:tr w14:paraId="53E6DCD0">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7DA86839">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Educação</w:t>
            </w:r>
          </w:p>
        </w:tc>
        <w:tc>
          <w:tcPr>
            <w:tcW w:w="4326" w:type="dxa"/>
            <w:tcBorders>
              <w:top w:val="single" w:color="000000" w:sz="4" w:space="0"/>
              <w:left w:val="single" w:color="000000" w:sz="4" w:space="0"/>
              <w:bottom w:val="single" w:color="000000" w:sz="4" w:space="0"/>
              <w:right w:val="single" w:color="000000" w:sz="4" w:space="0"/>
            </w:tcBorders>
            <w:vAlign w:val="center"/>
          </w:tcPr>
          <w:p w14:paraId="0A2CF106">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 xml:space="preserve">Ricardo Luiz de Almeida </w:t>
            </w:r>
          </w:p>
        </w:tc>
      </w:tr>
      <w:tr w14:paraId="46C1121B">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467F71EE">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Secretaria de Serviços Urbanos</w:t>
            </w:r>
          </w:p>
        </w:tc>
        <w:tc>
          <w:tcPr>
            <w:tcW w:w="4326" w:type="dxa"/>
            <w:tcBorders>
              <w:top w:val="single" w:color="000000" w:sz="4" w:space="0"/>
              <w:left w:val="single" w:color="000000" w:sz="4" w:space="0"/>
              <w:bottom w:val="single" w:color="000000" w:sz="4" w:space="0"/>
              <w:right w:val="single" w:color="000000" w:sz="4" w:space="0"/>
            </w:tcBorders>
            <w:vAlign w:val="center"/>
          </w:tcPr>
          <w:p w14:paraId="19EC3CB6">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Alessandro Cardoso Vieira</w:t>
            </w:r>
          </w:p>
        </w:tc>
      </w:tr>
      <w:tr w14:paraId="0670FF45">
        <w:tblPrEx>
          <w:tblCellMar>
            <w:top w:w="0" w:type="dxa"/>
            <w:left w:w="108" w:type="dxa"/>
            <w:bottom w:w="0" w:type="dxa"/>
            <w:right w:w="108" w:type="dxa"/>
          </w:tblCellMar>
        </w:tblPrEx>
        <w:trPr>
          <w:cantSplit/>
          <w:tblHeader/>
          <w:jc w:val="center"/>
        </w:trPr>
        <w:tc>
          <w:tcPr>
            <w:tcW w:w="5465" w:type="dxa"/>
            <w:tcBorders>
              <w:top w:val="single" w:color="000000" w:sz="4" w:space="0"/>
              <w:left w:val="single" w:color="000000" w:sz="4" w:space="0"/>
              <w:bottom w:val="single" w:color="000000" w:sz="4" w:space="0"/>
              <w:right w:val="single" w:color="000000" w:sz="4" w:space="0"/>
            </w:tcBorders>
            <w:vAlign w:val="center"/>
          </w:tcPr>
          <w:p w14:paraId="56FCDD5F">
            <w:pPr>
              <w:keepNext w:val="0"/>
              <w:keepLines w:val="0"/>
              <w:pageBreakBefore w:val="0"/>
              <w:widowControl w:val="0"/>
              <w:kinsoku/>
              <w:wordWrap/>
              <w:overflowPunct/>
              <w:topLinePunct w:val="0"/>
              <w:autoSpaceDE/>
              <w:autoSpaceDN/>
              <w:bidi w:val="0"/>
              <w:adjustRightInd/>
              <w:snapToGrid/>
              <w:spacing w:after="0" w:line="240" w:lineRule="auto"/>
              <w:ind w:left="-240" w:leftChars="-100" w:right="0" w:firstLine="219" w:firstLineChars="129"/>
              <w:jc w:val="both"/>
              <w:textAlignment w:val="auto"/>
              <w:rPr>
                <w:rFonts w:ascii="Arial" w:hAnsi="Arial" w:eastAsia="Arial" w:cs="Arial"/>
                <w:sz w:val="17"/>
                <w:szCs w:val="17"/>
              </w:rPr>
            </w:pPr>
            <w:r>
              <w:rPr>
                <w:rFonts w:ascii="Arial" w:hAnsi="Arial" w:eastAsia="Arial" w:cs="Arial"/>
                <w:sz w:val="17"/>
                <w:szCs w:val="17"/>
              </w:rPr>
              <w:t>Procuradoria</w:t>
            </w:r>
          </w:p>
        </w:tc>
        <w:tc>
          <w:tcPr>
            <w:tcW w:w="4326" w:type="dxa"/>
            <w:tcBorders>
              <w:top w:val="single" w:color="000000" w:sz="4" w:space="0"/>
              <w:left w:val="single" w:color="000000" w:sz="4" w:space="0"/>
              <w:bottom w:val="single" w:color="000000" w:sz="4" w:space="0"/>
              <w:right w:val="single" w:color="000000" w:sz="4" w:space="0"/>
            </w:tcBorders>
            <w:vAlign w:val="center"/>
          </w:tcPr>
          <w:p w14:paraId="7CFC3600">
            <w:pPr>
              <w:keepNext w:val="0"/>
              <w:keepLines w:val="0"/>
              <w:pageBreakBefore w:val="0"/>
              <w:widowControl w:val="0"/>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7"/>
                <w:szCs w:val="17"/>
              </w:rPr>
            </w:pPr>
            <w:r>
              <w:rPr>
                <w:rFonts w:ascii="Arial" w:hAnsi="Arial" w:eastAsia="Arial" w:cs="Arial"/>
                <w:sz w:val="17"/>
                <w:szCs w:val="17"/>
              </w:rPr>
              <w:t>Igor Victor Souza Costa</w:t>
            </w:r>
          </w:p>
        </w:tc>
      </w:tr>
    </w:tbl>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915ADE8">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4D834B2F">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11B19BD9">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582BA96C">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163C809A">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2CEC5F19">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1</w:t>
      </w:r>
      <w:r>
        <w:rPr>
          <w:rFonts w:hint="default" w:ascii="Arial" w:hAnsi="Arial" w:cs="Arial" w:eastAsiaTheme="minorHAnsi"/>
          <w:b/>
          <w:bCs/>
          <w:sz w:val="17"/>
          <w:szCs w:val="17"/>
          <w:lang w:val="pt-BR"/>
        </w:rPr>
        <w:t>6</w:t>
      </w:r>
      <w:r>
        <w:rPr>
          <w:rFonts w:hint="default" w:ascii="Arial" w:hAnsi="Arial" w:cs="Arial" w:eastAsiaTheme="minorHAnsi"/>
          <w:b/>
          <w:bCs/>
          <w:sz w:val="17"/>
          <w:szCs w:val="17"/>
        </w:rPr>
        <w:t xml:space="preserve">.1.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51F63E8E">
      <w:pPr>
        <w:rPr>
          <w:rFonts w:ascii="Arial" w:hAnsi="Arial" w:cs="Arial"/>
          <w:b/>
          <w:bCs/>
          <w:sz w:val="26"/>
          <w:szCs w:val="26"/>
        </w:rPr>
      </w:pPr>
      <w:r>
        <w:rPr>
          <w:rFonts w:ascii="Arial" w:hAnsi="Arial" w:cs="Arial"/>
          <w:b/>
          <w:bCs/>
          <w:sz w:val="26"/>
          <w:szCs w:val="26"/>
        </w:rPr>
        <w:br w:type="page"/>
      </w:r>
    </w:p>
    <w:p w14:paraId="467E982D">
      <w:pPr>
        <w:jc w:val="center"/>
        <w:rPr>
          <w:rFonts w:ascii="Arial" w:hAnsi="Arial" w:cs="Arial"/>
          <w:b/>
          <w:bCs/>
          <w:sz w:val="26"/>
          <w:szCs w:val="26"/>
        </w:rPr>
      </w:pPr>
    </w:p>
    <w:p w14:paraId="0213ECEB">
      <w:pPr>
        <w:jc w:val="center"/>
        <w:rPr>
          <w:rFonts w:ascii="Arial" w:hAnsi="Arial" w:cs="Arial"/>
          <w:b/>
          <w:bCs/>
          <w:sz w:val="26"/>
          <w:szCs w:val="26"/>
        </w:rPr>
      </w:pPr>
      <w:bookmarkStart w:id="59" w:name="_GoBack"/>
      <w:bookmarkEnd w:id="59"/>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068/2025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068/2025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31"/>
        <w:spacing w:before="0" w:after="0"/>
        <w:jc w:val="center"/>
        <w:rPr>
          <w:rFonts w:ascii="Arial" w:hAnsi="Arial" w:cs="Arial"/>
          <w:sz w:val="20"/>
          <w:szCs w:val="20"/>
        </w:rPr>
      </w:pPr>
    </w:p>
    <w:p w14:paraId="62976C5F">
      <w:pPr>
        <w:pStyle w:val="331"/>
        <w:spacing w:before="0" w:after="0"/>
        <w:jc w:val="both"/>
        <w:rPr>
          <w:rFonts w:ascii="Arial" w:hAnsi="Arial" w:cs="Arial"/>
          <w:sz w:val="20"/>
          <w:szCs w:val="20"/>
        </w:rPr>
      </w:pPr>
    </w:p>
    <w:p w14:paraId="613FC995">
      <w:pPr>
        <w:pStyle w:val="331"/>
        <w:spacing w:before="0" w:after="0"/>
        <w:jc w:val="center"/>
        <w:rPr>
          <w:rFonts w:ascii="Arial" w:hAnsi="Arial" w:cs="Arial"/>
          <w:sz w:val="20"/>
          <w:szCs w:val="20"/>
        </w:rPr>
      </w:pPr>
    </w:p>
    <w:p w14:paraId="09537DB9">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31"/>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256EF7BF">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068/2025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068/2025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31"/>
        <w:spacing w:before="0" w:after="0"/>
        <w:jc w:val="center"/>
        <w:rPr>
          <w:rFonts w:ascii="Arial" w:hAnsi="Arial" w:cs="Arial"/>
          <w:sz w:val="20"/>
          <w:szCs w:val="20"/>
        </w:rPr>
      </w:pPr>
    </w:p>
    <w:p w14:paraId="2D95C88E">
      <w:pPr>
        <w:pStyle w:val="331"/>
        <w:spacing w:before="0" w:after="0"/>
        <w:jc w:val="center"/>
        <w:rPr>
          <w:rFonts w:ascii="Arial" w:hAnsi="Arial" w:cs="Arial"/>
          <w:sz w:val="20"/>
          <w:szCs w:val="20"/>
        </w:rPr>
      </w:pPr>
    </w:p>
    <w:p w14:paraId="476D5BBF">
      <w:pPr>
        <w:pStyle w:val="331"/>
        <w:spacing w:before="0" w:after="0"/>
        <w:jc w:val="center"/>
        <w:rPr>
          <w:rFonts w:ascii="Arial" w:hAnsi="Arial" w:cs="Arial"/>
          <w:sz w:val="20"/>
          <w:szCs w:val="20"/>
        </w:rPr>
      </w:pPr>
    </w:p>
    <w:p w14:paraId="342BBE31">
      <w:pPr>
        <w:pStyle w:val="331"/>
        <w:spacing w:before="0" w:after="0"/>
        <w:jc w:val="center"/>
        <w:rPr>
          <w:rFonts w:ascii="Arial" w:hAnsi="Arial" w:cs="Arial"/>
          <w:sz w:val="20"/>
          <w:szCs w:val="20"/>
        </w:rPr>
      </w:pPr>
    </w:p>
    <w:p w14:paraId="542B95F5">
      <w:pPr>
        <w:pStyle w:val="331"/>
        <w:spacing w:before="0" w:after="0"/>
        <w:jc w:val="both"/>
        <w:rPr>
          <w:rFonts w:ascii="Arial" w:hAnsi="Arial" w:cs="Arial"/>
          <w:sz w:val="20"/>
          <w:szCs w:val="20"/>
        </w:rPr>
      </w:pPr>
    </w:p>
    <w:p w14:paraId="30C9B03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31"/>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3CDAC4CE">
      <w:pPr>
        <w:jc w:val="both"/>
        <w:rPr>
          <w:rFonts w:ascii="Arial" w:hAnsi="Arial" w:cs="Arial"/>
          <w:b/>
          <w:bCs/>
          <w:sz w:val="26"/>
          <w:szCs w:val="26"/>
        </w:rPr>
      </w:pPr>
    </w:p>
    <w:p w14:paraId="7F09579D">
      <w:pPr>
        <w:jc w:val="both"/>
        <w:rPr>
          <w:rFonts w:ascii="Arial" w:hAnsi="Arial" w:cs="Arial"/>
          <w:b/>
          <w:bCs/>
          <w:sz w:val="26"/>
          <w:szCs w:val="26"/>
        </w:rPr>
      </w:pPr>
    </w:p>
    <w:p w14:paraId="4ACE1441">
      <w:pPr>
        <w:jc w:val="both"/>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068/2025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068/2025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31"/>
        <w:spacing w:before="0" w:after="0"/>
        <w:jc w:val="center"/>
        <w:rPr>
          <w:rFonts w:ascii="Arial" w:hAnsi="Arial" w:cs="Arial"/>
          <w:sz w:val="20"/>
          <w:szCs w:val="20"/>
        </w:rPr>
      </w:pPr>
    </w:p>
    <w:p w14:paraId="6D9556C0">
      <w:pPr>
        <w:pStyle w:val="331"/>
        <w:spacing w:before="0" w:after="0"/>
        <w:jc w:val="center"/>
        <w:rPr>
          <w:rFonts w:ascii="Arial" w:hAnsi="Arial" w:cs="Arial"/>
          <w:sz w:val="20"/>
          <w:szCs w:val="20"/>
        </w:rPr>
      </w:pPr>
    </w:p>
    <w:p w14:paraId="10E24DE0">
      <w:pPr>
        <w:pStyle w:val="331"/>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31"/>
        <w:spacing w:before="0" w:after="0"/>
        <w:jc w:val="both"/>
        <w:rPr>
          <w:rFonts w:ascii="Arial" w:hAnsi="Arial" w:cs="Arial"/>
          <w:sz w:val="20"/>
          <w:szCs w:val="20"/>
        </w:rPr>
      </w:pPr>
    </w:p>
    <w:p w14:paraId="1EEE13EF">
      <w:pPr>
        <w:pStyle w:val="331"/>
        <w:spacing w:before="0" w:after="0"/>
        <w:jc w:val="center"/>
        <w:rPr>
          <w:rFonts w:ascii="Arial" w:hAnsi="Arial" w:cs="Arial"/>
          <w:sz w:val="20"/>
          <w:szCs w:val="20"/>
        </w:rPr>
      </w:pPr>
    </w:p>
    <w:p w14:paraId="4D45AC4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31"/>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0CAA67AF">
      <w:pPr>
        <w:ind w:left="-284" w:firstLine="284"/>
        <w:jc w:val="both"/>
        <w:rPr>
          <w:rFonts w:ascii="Arial" w:hAnsi="Arial" w:cs="Arial" w:eastAsiaTheme="minorHAnsi"/>
          <w:sz w:val="20"/>
          <w:szCs w:val="20"/>
        </w:rPr>
      </w:pPr>
    </w:p>
    <w:p w14:paraId="092DF675">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0F5583D">
      <w:pPr>
        <w:jc w:val="both"/>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068/2025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068/2025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6"/>
        <w:ind w:firstLine="1134"/>
        <w:rPr>
          <w:rFonts w:ascii="Arial" w:hAnsi="Arial" w:cs="Arial"/>
          <w:b w:val="0"/>
          <w:bCs w:val="0"/>
          <w:sz w:val="20"/>
          <w:szCs w:val="20"/>
        </w:rPr>
      </w:pPr>
    </w:p>
    <w:p w14:paraId="3AA3DE25">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31"/>
        <w:spacing w:before="0" w:after="0"/>
        <w:jc w:val="center"/>
        <w:rPr>
          <w:rFonts w:ascii="Arial" w:hAnsi="Arial" w:cs="Arial"/>
          <w:sz w:val="20"/>
          <w:szCs w:val="20"/>
        </w:rPr>
      </w:pPr>
    </w:p>
    <w:p w14:paraId="295F0580">
      <w:pPr>
        <w:pStyle w:val="331"/>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31"/>
        <w:spacing w:before="0" w:after="0"/>
        <w:jc w:val="center"/>
        <w:rPr>
          <w:rFonts w:ascii="Arial" w:hAnsi="Arial" w:cs="Arial"/>
          <w:sz w:val="20"/>
          <w:szCs w:val="20"/>
        </w:rPr>
      </w:pPr>
    </w:p>
    <w:p w14:paraId="0B8FB96C">
      <w:pPr>
        <w:pStyle w:val="331"/>
        <w:spacing w:before="0" w:after="0"/>
        <w:jc w:val="both"/>
        <w:rPr>
          <w:rFonts w:ascii="Arial" w:hAnsi="Arial" w:cs="Arial"/>
          <w:sz w:val="20"/>
          <w:szCs w:val="20"/>
        </w:rPr>
      </w:pPr>
    </w:p>
    <w:p w14:paraId="79963E7D">
      <w:pPr>
        <w:pStyle w:val="331"/>
        <w:spacing w:before="0" w:after="0"/>
        <w:jc w:val="center"/>
        <w:rPr>
          <w:rFonts w:ascii="Arial" w:hAnsi="Arial" w:cs="Arial"/>
          <w:sz w:val="20"/>
          <w:szCs w:val="20"/>
        </w:rPr>
      </w:pPr>
    </w:p>
    <w:p w14:paraId="58EFC37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31"/>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068/2025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068/2025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31"/>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31"/>
        <w:spacing w:before="0" w:after="0"/>
        <w:jc w:val="center"/>
        <w:rPr>
          <w:rFonts w:ascii="Arial" w:hAnsi="Arial" w:cs="Arial"/>
          <w:sz w:val="20"/>
          <w:szCs w:val="20"/>
        </w:rPr>
      </w:pPr>
    </w:p>
    <w:p w14:paraId="1000AA66">
      <w:pPr>
        <w:pStyle w:val="331"/>
        <w:spacing w:before="0" w:after="0"/>
        <w:jc w:val="center"/>
        <w:rPr>
          <w:rFonts w:ascii="Arial" w:hAnsi="Arial" w:cs="Arial"/>
          <w:sz w:val="20"/>
          <w:szCs w:val="20"/>
        </w:rPr>
      </w:pPr>
    </w:p>
    <w:p w14:paraId="3B7DB550">
      <w:pPr>
        <w:pStyle w:val="331"/>
        <w:spacing w:before="0" w:after="0"/>
        <w:jc w:val="both"/>
        <w:rPr>
          <w:rFonts w:ascii="Arial" w:hAnsi="Arial" w:cs="Arial"/>
          <w:sz w:val="20"/>
          <w:szCs w:val="20"/>
        </w:rPr>
      </w:pPr>
    </w:p>
    <w:p w14:paraId="3C5A056D">
      <w:pPr>
        <w:pStyle w:val="331"/>
        <w:spacing w:before="0" w:after="0"/>
        <w:jc w:val="center"/>
        <w:rPr>
          <w:rFonts w:ascii="Arial" w:hAnsi="Arial" w:cs="Arial"/>
          <w:sz w:val="20"/>
          <w:szCs w:val="20"/>
        </w:rPr>
      </w:pPr>
    </w:p>
    <w:p w14:paraId="7067413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31"/>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068/2025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068/2025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31"/>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31"/>
        <w:spacing w:before="0" w:after="0"/>
        <w:jc w:val="center"/>
        <w:rPr>
          <w:rFonts w:ascii="Arial" w:hAnsi="Arial" w:cs="Arial"/>
          <w:sz w:val="20"/>
          <w:szCs w:val="20"/>
        </w:rPr>
      </w:pPr>
    </w:p>
    <w:p w14:paraId="7BDEDD3F">
      <w:pPr>
        <w:pStyle w:val="331"/>
        <w:spacing w:before="0" w:after="0"/>
        <w:jc w:val="center"/>
        <w:rPr>
          <w:rFonts w:ascii="Arial" w:hAnsi="Arial" w:cs="Arial"/>
          <w:sz w:val="20"/>
          <w:szCs w:val="20"/>
        </w:rPr>
      </w:pPr>
    </w:p>
    <w:p w14:paraId="4419180E">
      <w:pPr>
        <w:pStyle w:val="331"/>
        <w:spacing w:before="0" w:after="0"/>
        <w:jc w:val="both"/>
        <w:rPr>
          <w:rFonts w:ascii="Arial" w:hAnsi="Arial" w:cs="Arial"/>
          <w:sz w:val="20"/>
          <w:szCs w:val="20"/>
        </w:rPr>
      </w:pPr>
    </w:p>
    <w:p w14:paraId="54530A7D">
      <w:pPr>
        <w:pStyle w:val="331"/>
        <w:spacing w:before="0" w:after="0"/>
        <w:jc w:val="center"/>
        <w:rPr>
          <w:rFonts w:ascii="Arial" w:hAnsi="Arial" w:cs="Arial"/>
          <w:sz w:val="20"/>
          <w:szCs w:val="20"/>
        </w:rPr>
      </w:pPr>
    </w:p>
    <w:p w14:paraId="4A8145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31"/>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068/2025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068/2025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3"/>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31"/>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31"/>
        <w:spacing w:before="0" w:after="0"/>
        <w:jc w:val="center"/>
        <w:rPr>
          <w:rFonts w:ascii="Arial" w:hAnsi="Arial" w:cs="Arial"/>
          <w:sz w:val="20"/>
          <w:szCs w:val="20"/>
        </w:rPr>
      </w:pPr>
    </w:p>
    <w:p w14:paraId="29D2A1B1">
      <w:pPr>
        <w:pStyle w:val="331"/>
        <w:spacing w:before="0" w:after="0"/>
        <w:jc w:val="center"/>
        <w:rPr>
          <w:rFonts w:ascii="Arial" w:hAnsi="Arial" w:cs="Arial"/>
          <w:sz w:val="20"/>
          <w:szCs w:val="20"/>
        </w:rPr>
      </w:pPr>
    </w:p>
    <w:p w14:paraId="17736B0E">
      <w:pPr>
        <w:pStyle w:val="331"/>
        <w:spacing w:before="0" w:after="0"/>
        <w:jc w:val="both"/>
        <w:rPr>
          <w:rFonts w:ascii="Arial" w:hAnsi="Arial" w:cs="Arial"/>
          <w:sz w:val="20"/>
          <w:szCs w:val="20"/>
        </w:rPr>
      </w:pPr>
    </w:p>
    <w:p w14:paraId="5386A8D4">
      <w:pPr>
        <w:pStyle w:val="331"/>
        <w:spacing w:before="0" w:after="0"/>
        <w:jc w:val="center"/>
        <w:rPr>
          <w:rFonts w:ascii="Arial" w:hAnsi="Arial" w:cs="Arial"/>
          <w:sz w:val="20"/>
          <w:szCs w:val="20"/>
        </w:rPr>
      </w:pPr>
    </w:p>
    <w:p w14:paraId="07D619F6">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31"/>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068/2025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068/2025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6"/>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3"/>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31"/>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31"/>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31"/>
        <w:spacing w:before="0" w:after="0"/>
        <w:jc w:val="center"/>
        <w:rPr>
          <w:rFonts w:hint="default" w:ascii="Arial" w:hAnsi="Arial" w:cs="Arial"/>
          <w:sz w:val="18"/>
          <w:szCs w:val="18"/>
        </w:rPr>
      </w:pPr>
    </w:p>
    <w:p w14:paraId="7F589F91">
      <w:pPr>
        <w:pStyle w:val="331"/>
        <w:spacing w:before="0" w:after="0"/>
        <w:jc w:val="center"/>
        <w:rPr>
          <w:rFonts w:hint="default" w:ascii="Arial" w:hAnsi="Arial" w:cs="Arial"/>
          <w:sz w:val="18"/>
          <w:szCs w:val="18"/>
        </w:rPr>
      </w:pPr>
    </w:p>
    <w:p w14:paraId="0B2CD333">
      <w:pPr>
        <w:pStyle w:val="331"/>
        <w:spacing w:before="0" w:after="0"/>
        <w:jc w:val="both"/>
        <w:rPr>
          <w:rFonts w:hint="default" w:ascii="Arial" w:hAnsi="Arial" w:cs="Arial"/>
          <w:sz w:val="18"/>
          <w:szCs w:val="18"/>
        </w:rPr>
      </w:pPr>
    </w:p>
    <w:p w14:paraId="6F9DFE4C">
      <w:pPr>
        <w:pStyle w:val="331"/>
        <w:spacing w:before="0" w:after="0"/>
        <w:jc w:val="center"/>
        <w:rPr>
          <w:rFonts w:hint="default" w:ascii="Arial" w:hAnsi="Arial" w:cs="Arial"/>
          <w:sz w:val="18"/>
          <w:szCs w:val="18"/>
        </w:rPr>
      </w:pPr>
    </w:p>
    <w:p w14:paraId="498FF369">
      <w:pPr>
        <w:pStyle w:val="331"/>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31"/>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31"/>
        <w:spacing w:before="0" w:after="0"/>
        <w:jc w:val="center"/>
        <w:rPr>
          <w:rFonts w:hint="default" w:ascii="Arial" w:hAnsi="Arial" w:cs="Arial"/>
          <w:sz w:val="18"/>
          <w:szCs w:val="18"/>
        </w:rPr>
      </w:pPr>
    </w:p>
    <w:p w14:paraId="31AE4638">
      <w:pPr>
        <w:pStyle w:val="331"/>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150/2025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068/2025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068/2025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68CAD55">
      <w:pPr>
        <w:rPr>
          <w:rFonts w:hint="default" w:ascii="Arial" w:hAnsi="Arial" w:cs="Arial" w:eastAsiaTheme="minorHAnsi"/>
          <w:sz w:val="20"/>
          <w:szCs w:val="20"/>
          <w:lang w:val="pt-BR"/>
        </w:rPr>
      </w:pPr>
    </w:p>
    <w:sectPr>
      <w:headerReference r:id="rId3" w:type="default"/>
      <w:footerReference r:id="rId4" w:type="default"/>
      <w:pgSz w:w="11907" w:h="16840"/>
      <w:pgMar w:top="2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4"/>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3"/>
        <w:sz w:val="20"/>
        <w:szCs w:val="20"/>
      </w:rPr>
      <w:t>pregaocataguases@gmail.com</w:t>
    </w:r>
    <w:r>
      <w:rPr>
        <w:sz w:val="20"/>
        <w:szCs w:val="20"/>
      </w:rPr>
      <w:fldChar w:fldCharType="end"/>
    </w:r>
  </w:p>
  <w:p w14:paraId="69FBC8A7">
    <w:pPr>
      <w:pStyle w:val="204"/>
      <w:jc w:val="center"/>
      <w:rPr>
        <w:rFonts w:hint="default"/>
        <w:sz w:val="20"/>
        <w:szCs w:val="20"/>
        <w:lang w:val="pt-BR"/>
      </w:rPr>
    </w:pPr>
    <w:r>
      <w:rPr>
        <w:rFonts w:hint="default"/>
        <w:sz w:val="20"/>
        <w:szCs w:val="20"/>
        <w:lang w:val="pt-BR"/>
      </w:rPr>
      <w:t>Pregão eletrônico n° 068/2025</w:t>
    </w:r>
  </w:p>
  <w:p w14:paraId="021662C9">
    <w:pPr>
      <w:pStyle w:val="204"/>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2"/>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50150624"/>
    <w:multiLevelType w:val="multilevel"/>
    <w:tmpl w:val="50150624"/>
    <w:lvl w:ilvl="0" w:tentative="0">
      <w:start w:val="1"/>
      <w:numFmt w:val="decimal"/>
      <w:pStyle w:val="281"/>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421523D"/>
    <w:multiLevelType w:val="singleLevel"/>
    <w:tmpl w:val="6421523D"/>
    <w:lvl w:ilvl="0" w:tentative="0">
      <w:start w:val="18"/>
      <w:numFmt w:val="decimal"/>
      <w:suff w:val="space"/>
      <w:lvlText w:val="%1."/>
      <w:lvlJc w:val="left"/>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3"/>
  </w:num>
  <w:num w:numId="2">
    <w:abstractNumId w:val="9"/>
  </w:num>
  <w:num w:numId="3">
    <w:abstractNumId w:val="6"/>
  </w:num>
  <w:num w:numId="4">
    <w:abstractNumId w:val="21"/>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6"/>
  </w:num>
  <w:num w:numId="10">
    <w:abstractNumId w:val="22"/>
  </w:num>
  <w:num w:numId="11">
    <w:abstractNumId w:val="20"/>
  </w:num>
  <w:num w:numId="12">
    <w:abstractNumId w:val="11"/>
  </w:num>
  <w:num w:numId="13">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3"/>
  </w:num>
  <w:num w:numId="17">
    <w:abstractNumId w:val="17"/>
  </w:num>
  <w:num w:numId="18">
    <w:abstractNumId w:val="8"/>
  </w:num>
  <w:num w:numId="19">
    <w:abstractNumId w:val="4"/>
  </w:num>
  <w:num w:numId="20">
    <w:abstractNumId w:val="12"/>
  </w:num>
  <w:num w:numId="21">
    <w:abstractNumId w:val="5"/>
  </w:num>
  <w:num w:numId="22">
    <w:abstractNumId w:val="7"/>
  </w:num>
  <w:num w:numId="23">
    <w:abstractNumId w:val="1"/>
  </w:num>
  <w:num w:numId="24">
    <w:abstractNumId w:val="23"/>
  </w:num>
  <w:num w:numId="25">
    <w:abstractNumId w:val="1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A08C5"/>
    <w:rsid w:val="012872A8"/>
    <w:rsid w:val="023F4F02"/>
    <w:rsid w:val="024B6CD3"/>
    <w:rsid w:val="030F6BC9"/>
    <w:rsid w:val="036245CC"/>
    <w:rsid w:val="037079AF"/>
    <w:rsid w:val="03FD742E"/>
    <w:rsid w:val="041462BE"/>
    <w:rsid w:val="046B1633"/>
    <w:rsid w:val="04C218DA"/>
    <w:rsid w:val="050E1587"/>
    <w:rsid w:val="057672F2"/>
    <w:rsid w:val="057E3312"/>
    <w:rsid w:val="05934B60"/>
    <w:rsid w:val="05C36005"/>
    <w:rsid w:val="05DE29C6"/>
    <w:rsid w:val="06041F84"/>
    <w:rsid w:val="063F6266"/>
    <w:rsid w:val="06A40338"/>
    <w:rsid w:val="06BD7EC9"/>
    <w:rsid w:val="06EE497D"/>
    <w:rsid w:val="06F32E73"/>
    <w:rsid w:val="071B739D"/>
    <w:rsid w:val="07672EB6"/>
    <w:rsid w:val="07D04327"/>
    <w:rsid w:val="0A1A36A0"/>
    <w:rsid w:val="0A1E5378"/>
    <w:rsid w:val="0A2574B3"/>
    <w:rsid w:val="0A2E1C2E"/>
    <w:rsid w:val="0A892C60"/>
    <w:rsid w:val="0A970F1B"/>
    <w:rsid w:val="0B2E0FAF"/>
    <w:rsid w:val="0C6254CE"/>
    <w:rsid w:val="0C9B62D5"/>
    <w:rsid w:val="0CC5327E"/>
    <w:rsid w:val="0D084D71"/>
    <w:rsid w:val="0D7910A1"/>
    <w:rsid w:val="0E69539B"/>
    <w:rsid w:val="0F085E08"/>
    <w:rsid w:val="0F1108C5"/>
    <w:rsid w:val="0F6B552D"/>
    <w:rsid w:val="0FF8348F"/>
    <w:rsid w:val="108D148E"/>
    <w:rsid w:val="10DA3734"/>
    <w:rsid w:val="11C747A2"/>
    <w:rsid w:val="123371E8"/>
    <w:rsid w:val="12513B91"/>
    <w:rsid w:val="12B32D49"/>
    <w:rsid w:val="130A0F08"/>
    <w:rsid w:val="134A4E0F"/>
    <w:rsid w:val="13566046"/>
    <w:rsid w:val="137E1789"/>
    <w:rsid w:val="140A478A"/>
    <w:rsid w:val="1446255B"/>
    <w:rsid w:val="15A7141A"/>
    <w:rsid w:val="16CB43F4"/>
    <w:rsid w:val="17581A59"/>
    <w:rsid w:val="175C2605"/>
    <w:rsid w:val="188006D9"/>
    <w:rsid w:val="18B47B61"/>
    <w:rsid w:val="194A621D"/>
    <w:rsid w:val="19AE222D"/>
    <w:rsid w:val="19DF440E"/>
    <w:rsid w:val="1A306BDC"/>
    <w:rsid w:val="1AE9310E"/>
    <w:rsid w:val="1B5F138E"/>
    <w:rsid w:val="1E0279F8"/>
    <w:rsid w:val="1E4C628E"/>
    <w:rsid w:val="1F2E477C"/>
    <w:rsid w:val="1F513231"/>
    <w:rsid w:val="1FA03EF2"/>
    <w:rsid w:val="1FFB5506"/>
    <w:rsid w:val="204B0788"/>
    <w:rsid w:val="206D1FC1"/>
    <w:rsid w:val="20700482"/>
    <w:rsid w:val="209C70ED"/>
    <w:rsid w:val="209D42C7"/>
    <w:rsid w:val="20BB20C0"/>
    <w:rsid w:val="20D45FA9"/>
    <w:rsid w:val="21523992"/>
    <w:rsid w:val="2173291C"/>
    <w:rsid w:val="22DF6543"/>
    <w:rsid w:val="234A2DB2"/>
    <w:rsid w:val="237951C8"/>
    <w:rsid w:val="23803B28"/>
    <w:rsid w:val="23B15197"/>
    <w:rsid w:val="243F4EA1"/>
    <w:rsid w:val="24B0470C"/>
    <w:rsid w:val="24CF3089"/>
    <w:rsid w:val="24FB0E3B"/>
    <w:rsid w:val="259F38F2"/>
    <w:rsid w:val="25A73C7B"/>
    <w:rsid w:val="26467D5D"/>
    <w:rsid w:val="26A522E5"/>
    <w:rsid w:val="26AB2EEF"/>
    <w:rsid w:val="26E76EFF"/>
    <w:rsid w:val="28177609"/>
    <w:rsid w:val="28994A20"/>
    <w:rsid w:val="289D2943"/>
    <w:rsid w:val="28DF667B"/>
    <w:rsid w:val="295938E3"/>
    <w:rsid w:val="297A7AD8"/>
    <w:rsid w:val="29A90543"/>
    <w:rsid w:val="29D87A35"/>
    <w:rsid w:val="29F03C89"/>
    <w:rsid w:val="2B273C3C"/>
    <w:rsid w:val="2B421205"/>
    <w:rsid w:val="2BA5188B"/>
    <w:rsid w:val="2BCA2D46"/>
    <w:rsid w:val="2C7E74AC"/>
    <w:rsid w:val="2E514506"/>
    <w:rsid w:val="2E611FB6"/>
    <w:rsid w:val="2E7471D0"/>
    <w:rsid w:val="2E807459"/>
    <w:rsid w:val="2EBA0537"/>
    <w:rsid w:val="2EE90188"/>
    <w:rsid w:val="2F2612DC"/>
    <w:rsid w:val="2F314A3C"/>
    <w:rsid w:val="2F462A0C"/>
    <w:rsid w:val="2F712264"/>
    <w:rsid w:val="2F8F5830"/>
    <w:rsid w:val="2FDB3E92"/>
    <w:rsid w:val="30704386"/>
    <w:rsid w:val="30B03B21"/>
    <w:rsid w:val="30FC1269"/>
    <w:rsid w:val="31752124"/>
    <w:rsid w:val="31D574D0"/>
    <w:rsid w:val="31E13090"/>
    <w:rsid w:val="32186CC0"/>
    <w:rsid w:val="32C171AA"/>
    <w:rsid w:val="330B754D"/>
    <w:rsid w:val="351A1692"/>
    <w:rsid w:val="35414F6E"/>
    <w:rsid w:val="357353BD"/>
    <w:rsid w:val="35FD0F8B"/>
    <w:rsid w:val="36153AC8"/>
    <w:rsid w:val="36C8026D"/>
    <w:rsid w:val="36E91DC4"/>
    <w:rsid w:val="37AE2072"/>
    <w:rsid w:val="37CA2473"/>
    <w:rsid w:val="37EC6A19"/>
    <w:rsid w:val="38022573"/>
    <w:rsid w:val="38517C12"/>
    <w:rsid w:val="38707E8C"/>
    <w:rsid w:val="395F0628"/>
    <w:rsid w:val="3A4D68B5"/>
    <w:rsid w:val="3A782F7C"/>
    <w:rsid w:val="3A8821F4"/>
    <w:rsid w:val="3A8D7822"/>
    <w:rsid w:val="3AE54320"/>
    <w:rsid w:val="3B766376"/>
    <w:rsid w:val="3C9B48F3"/>
    <w:rsid w:val="3E280296"/>
    <w:rsid w:val="3E9832FD"/>
    <w:rsid w:val="3EA25033"/>
    <w:rsid w:val="3EE6654F"/>
    <w:rsid w:val="3F1D6EF7"/>
    <w:rsid w:val="3F380C61"/>
    <w:rsid w:val="40C656D6"/>
    <w:rsid w:val="40C73FD6"/>
    <w:rsid w:val="417501F3"/>
    <w:rsid w:val="41E84AB6"/>
    <w:rsid w:val="42856917"/>
    <w:rsid w:val="429057C0"/>
    <w:rsid w:val="42C30FAF"/>
    <w:rsid w:val="42E15A61"/>
    <w:rsid w:val="431B5DEF"/>
    <w:rsid w:val="43803BC4"/>
    <w:rsid w:val="440476D6"/>
    <w:rsid w:val="45300692"/>
    <w:rsid w:val="453E5466"/>
    <w:rsid w:val="45636562"/>
    <w:rsid w:val="45643FE4"/>
    <w:rsid w:val="461D4A97"/>
    <w:rsid w:val="4642363C"/>
    <w:rsid w:val="4661710E"/>
    <w:rsid w:val="46681314"/>
    <w:rsid w:val="470518CB"/>
    <w:rsid w:val="47D772EC"/>
    <w:rsid w:val="48476D32"/>
    <w:rsid w:val="48F30D3D"/>
    <w:rsid w:val="49471290"/>
    <w:rsid w:val="495A19E6"/>
    <w:rsid w:val="496B5572"/>
    <w:rsid w:val="4B257D58"/>
    <w:rsid w:val="4B821692"/>
    <w:rsid w:val="4B9E2EE3"/>
    <w:rsid w:val="4BE0608A"/>
    <w:rsid w:val="4C690434"/>
    <w:rsid w:val="4C7938B2"/>
    <w:rsid w:val="4D5E6ED9"/>
    <w:rsid w:val="4DAF7402"/>
    <w:rsid w:val="4E377AA9"/>
    <w:rsid w:val="4E3D4066"/>
    <w:rsid w:val="4ED107DE"/>
    <w:rsid w:val="4ED83040"/>
    <w:rsid w:val="4F483CBA"/>
    <w:rsid w:val="4F6C7F92"/>
    <w:rsid w:val="4FD51347"/>
    <w:rsid w:val="4FDA3AB0"/>
    <w:rsid w:val="505E3468"/>
    <w:rsid w:val="50B5468B"/>
    <w:rsid w:val="50D002C6"/>
    <w:rsid w:val="50D949BF"/>
    <w:rsid w:val="51453A91"/>
    <w:rsid w:val="51CF3978"/>
    <w:rsid w:val="51D356B8"/>
    <w:rsid w:val="51E67A6C"/>
    <w:rsid w:val="522D5604"/>
    <w:rsid w:val="52465311"/>
    <w:rsid w:val="526D63CC"/>
    <w:rsid w:val="527E69F4"/>
    <w:rsid w:val="52CF109F"/>
    <w:rsid w:val="53287BFD"/>
    <w:rsid w:val="53E030A9"/>
    <w:rsid w:val="56291CEA"/>
    <w:rsid w:val="56A62938"/>
    <w:rsid w:val="57297190"/>
    <w:rsid w:val="5762121D"/>
    <w:rsid w:val="577801A6"/>
    <w:rsid w:val="58614E3B"/>
    <w:rsid w:val="58631F75"/>
    <w:rsid w:val="588E3981"/>
    <w:rsid w:val="59194FF3"/>
    <w:rsid w:val="594C2058"/>
    <w:rsid w:val="599B71AD"/>
    <w:rsid w:val="59D5303F"/>
    <w:rsid w:val="5A4D36B3"/>
    <w:rsid w:val="5A4D5EF3"/>
    <w:rsid w:val="5A71334E"/>
    <w:rsid w:val="5A990128"/>
    <w:rsid w:val="5B224A68"/>
    <w:rsid w:val="5B261AA8"/>
    <w:rsid w:val="5BC449ED"/>
    <w:rsid w:val="5C12247E"/>
    <w:rsid w:val="5C146E05"/>
    <w:rsid w:val="5C7E560B"/>
    <w:rsid w:val="5CBF0F39"/>
    <w:rsid w:val="5D452069"/>
    <w:rsid w:val="5DB73614"/>
    <w:rsid w:val="5E1D3646"/>
    <w:rsid w:val="5E8605C4"/>
    <w:rsid w:val="5EB52675"/>
    <w:rsid w:val="5EC93C5A"/>
    <w:rsid w:val="5F424B30"/>
    <w:rsid w:val="5F777E2D"/>
    <w:rsid w:val="601E603C"/>
    <w:rsid w:val="61223AFE"/>
    <w:rsid w:val="61501F63"/>
    <w:rsid w:val="61A04AD5"/>
    <w:rsid w:val="61F74F7D"/>
    <w:rsid w:val="6212532B"/>
    <w:rsid w:val="624F5795"/>
    <w:rsid w:val="627444BC"/>
    <w:rsid w:val="62B577CE"/>
    <w:rsid w:val="62C04412"/>
    <w:rsid w:val="62E83F51"/>
    <w:rsid w:val="63030337"/>
    <w:rsid w:val="63F5795B"/>
    <w:rsid w:val="6402249F"/>
    <w:rsid w:val="646B6AF5"/>
    <w:rsid w:val="648D429C"/>
    <w:rsid w:val="64E46315"/>
    <w:rsid w:val="65BE1049"/>
    <w:rsid w:val="66225F45"/>
    <w:rsid w:val="66A74830"/>
    <w:rsid w:val="680E4244"/>
    <w:rsid w:val="68715CE9"/>
    <w:rsid w:val="691E609B"/>
    <w:rsid w:val="698B1191"/>
    <w:rsid w:val="69AE7C02"/>
    <w:rsid w:val="69C45E93"/>
    <w:rsid w:val="6A0D62A7"/>
    <w:rsid w:val="6A902988"/>
    <w:rsid w:val="6AD91B50"/>
    <w:rsid w:val="6B3C58DD"/>
    <w:rsid w:val="6CAC2460"/>
    <w:rsid w:val="6D5C0057"/>
    <w:rsid w:val="6DAE4200"/>
    <w:rsid w:val="6DBE3E48"/>
    <w:rsid w:val="6E114EEB"/>
    <w:rsid w:val="6E147427"/>
    <w:rsid w:val="6E8B070D"/>
    <w:rsid w:val="704509C1"/>
    <w:rsid w:val="704B327F"/>
    <w:rsid w:val="705553D8"/>
    <w:rsid w:val="70953C43"/>
    <w:rsid w:val="70B7692C"/>
    <w:rsid w:val="713A694F"/>
    <w:rsid w:val="716952E1"/>
    <w:rsid w:val="716B0135"/>
    <w:rsid w:val="71805DA0"/>
    <w:rsid w:val="71D278DA"/>
    <w:rsid w:val="723C5B16"/>
    <w:rsid w:val="725A39AC"/>
    <w:rsid w:val="72A7020A"/>
    <w:rsid w:val="72C10ECF"/>
    <w:rsid w:val="72E86940"/>
    <w:rsid w:val="73132E98"/>
    <w:rsid w:val="73E94E79"/>
    <w:rsid w:val="74322639"/>
    <w:rsid w:val="74484054"/>
    <w:rsid w:val="750C7615"/>
    <w:rsid w:val="75463962"/>
    <w:rsid w:val="7558458F"/>
    <w:rsid w:val="756B0CB3"/>
    <w:rsid w:val="76846FE7"/>
    <w:rsid w:val="77110C43"/>
    <w:rsid w:val="77C21527"/>
    <w:rsid w:val="784150D0"/>
    <w:rsid w:val="789336DE"/>
    <w:rsid w:val="78DB07E5"/>
    <w:rsid w:val="79924C25"/>
    <w:rsid w:val="7A5C07DE"/>
    <w:rsid w:val="7A633959"/>
    <w:rsid w:val="7AB7123D"/>
    <w:rsid w:val="7B9375BC"/>
    <w:rsid w:val="7BB7279F"/>
    <w:rsid w:val="7BE75CD4"/>
    <w:rsid w:val="7C351656"/>
    <w:rsid w:val="7C38707B"/>
    <w:rsid w:val="7C3F355D"/>
    <w:rsid w:val="7CBC1548"/>
    <w:rsid w:val="7CC705A5"/>
    <w:rsid w:val="7D3610C9"/>
    <w:rsid w:val="7D823B04"/>
    <w:rsid w:val="7DAE615B"/>
    <w:rsid w:val="7E233080"/>
    <w:rsid w:val="7E775D49"/>
    <w:rsid w:val="7E9E4805"/>
    <w:rsid w:val="7EE11A75"/>
    <w:rsid w:val="7F064067"/>
    <w:rsid w:val="7F43588D"/>
    <w:rsid w:val="7FAE73D0"/>
    <w:rsid w:val="7FE8327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41"/>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paragraph" w:styleId="4">
    <w:name w:val="heading 3"/>
    <w:basedOn w:val="1"/>
    <w:next w:val="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1"/>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8"/>
    <w:autoRedefine/>
    <w:qFormat/>
    <w:uiPriority w:val="99"/>
    <w:pPr>
      <w:jc w:val="center"/>
    </w:pPr>
    <w:rPr>
      <w:b/>
      <w:bCs/>
      <w:sz w:val="40"/>
    </w:rPr>
  </w:style>
  <w:style w:type="paragraph" w:styleId="22">
    <w:name w:val="endnote text"/>
    <w:basedOn w:val="1"/>
    <w:link w:val="227"/>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7"/>
    <w:autoRedefine/>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1"/>
    <w:autoRedefine/>
    <w:qFormat/>
    <w:uiPriority w:val="99"/>
    <w:pPr>
      <w:spacing w:after="120" w:line="480" w:lineRule="auto"/>
    </w:pPr>
  </w:style>
  <w:style w:type="paragraph" w:styleId="29">
    <w:name w:val="header"/>
    <w:basedOn w:val="1"/>
    <w:link w:val="299"/>
    <w:autoRedefine/>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caption"/>
    <w:basedOn w:val="1"/>
    <w:next w:val="1"/>
    <w:semiHidden/>
    <w:unhideWhenUsed/>
    <w:qFormat/>
    <w:uiPriority w:val="35"/>
    <w:rPr>
      <w:rFonts w:ascii="Arial" w:hAnsi="Arial" w:eastAsia="SimHei" w:cs="Arial"/>
      <w:sz w:val="20"/>
    </w:rPr>
  </w:style>
  <w:style w:type="paragraph" w:styleId="33">
    <w:name w:val="toc 7"/>
    <w:basedOn w:val="1"/>
    <w:next w:val="1"/>
    <w:autoRedefine/>
    <w:unhideWhenUsed/>
    <w:qFormat/>
    <w:uiPriority w:val="39"/>
    <w:pPr>
      <w:spacing w:after="57"/>
      <w:ind w:left="1701"/>
    </w:pPr>
  </w:style>
  <w:style w:type="paragraph" w:styleId="34">
    <w:name w:val="Body Text Indent 3"/>
    <w:basedOn w:val="1"/>
    <w:link w:val="297"/>
    <w:autoRedefine/>
    <w:qFormat/>
    <w:uiPriority w:val="0"/>
    <w:pPr>
      <w:spacing w:after="120"/>
      <w:ind w:left="283"/>
    </w:pPr>
    <w:rPr>
      <w:sz w:val="16"/>
      <w:szCs w:val="16"/>
    </w:rPr>
  </w:style>
  <w:style w:type="paragraph" w:styleId="35">
    <w:name w:val="toc 3"/>
    <w:basedOn w:val="1"/>
    <w:next w:val="1"/>
    <w:autoRedefine/>
    <w:unhideWhenUsed/>
    <w:qFormat/>
    <w:uiPriority w:val="39"/>
    <w:pPr>
      <w:spacing w:after="57"/>
      <w:ind w:left="567"/>
    </w:pPr>
  </w:style>
  <w:style w:type="paragraph" w:styleId="36">
    <w:name w:val="Balloon Text"/>
    <w:basedOn w:val="1"/>
    <w:link w:val="206"/>
    <w:autoRedefine/>
    <w:qFormat/>
    <w:uiPriority w:val="0"/>
    <w:rPr>
      <w:rFonts w:ascii="Tahoma" w:hAnsi="Tahoma" w:cs="Tahoma"/>
      <w:sz w:val="16"/>
      <w:szCs w:val="16"/>
    </w:rPr>
  </w:style>
  <w:style w:type="paragraph" w:styleId="37">
    <w:name w:val="Subtitle"/>
    <w:basedOn w:val="1"/>
    <w:next w:val="1"/>
    <w:link w:val="54"/>
    <w:autoRedefine/>
    <w:qFormat/>
    <w:uiPriority w:val="11"/>
    <w:pPr>
      <w:spacing w:before="200" w:after="200"/>
    </w:pPr>
  </w:style>
  <w:style w:type="paragraph" w:styleId="38">
    <w:name w:val="footnote text"/>
    <w:basedOn w:val="1"/>
    <w:link w:val="224"/>
    <w:autoRedefine/>
    <w:semiHidden/>
    <w:unhideWhenUsed/>
    <w:qFormat/>
    <w:uiPriority w:val="99"/>
    <w:rPr>
      <w:sz w:val="20"/>
      <w:szCs w:val="20"/>
    </w:rPr>
  </w:style>
  <w:style w:type="paragraph" w:styleId="39">
    <w:name w:val="toc 1"/>
    <w:basedOn w:val="1"/>
    <w:next w:val="1"/>
    <w:autoRedefine/>
    <w:unhideWhenUsed/>
    <w:qFormat/>
    <w:uiPriority w:val="39"/>
    <w:pPr>
      <w:spacing w:after="57"/>
    </w:pPr>
  </w:style>
  <w:style w:type="paragraph" w:styleId="40">
    <w:name w:val="Body Text Indent"/>
    <w:basedOn w:val="1"/>
    <w:link w:val="296"/>
    <w:autoRedefine/>
    <w:qFormat/>
    <w:uiPriority w:val="0"/>
    <w:pPr>
      <w:ind w:firstLine="708"/>
    </w:pPr>
    <w:rPr>
      <w:color w:val="000000"/>
      <w:sz w:val="28"/>
    </w:rPr>
  </w:style>
  <w:style w:type="table" w:styleId="41">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2">
    <w:name w:val="Heading 1 Char"/>
    <w:basedOn w:val="5"/>
    <w:autoRedefine/>
    <w:qFormat/>
    <w:uiPriority w:val="9"/>
    <w:rPr>
      <w:rFonts w:ascii="Arial" w:hAnsi="Arial" w:eastAsia="Arial" w:cs="Arial"/>
      <w:sz w:val="40"/>
      <w:szCs w:val="40"/>
    </w:rPr>
  </w:style>
  <w:style w:type="character" w:customStyle="1" w:styleId="43">
    <w:name w:val="Heading 2 Char"/>
    <w:basedOn w:val="5"/>
    <w:autoRedefine/>
    <w:qFormat/>
    <w:uiPriority w:val="9"/>
    <w:rPr>
      <w:rFonts w:ascii="Arial" w:hAnsi="Arial" w:eastAsia="Arial" w:cs="Arial"/>
      <w:sz w:val="34"/>
    </w:rPr>
  </w:style>
  <w:style w:type="character" w:customStyle="1" w:styleId="44">
    <w:name w:val="Heading 3 Char"/>
    <w:basedOn w:val="5"/>
    <w:autoRedefine/>
    <w:qFormat/>
    <w:uiPriority w:val="9"/>
    <w:rPr>
      <w:rFonts w:ascii="Arial" w:hAnsi="Arial" w:eastAsia="Arial" w:cs="Arial"/>
      <w:sz w:val="30"/>
      <w:szCs w:val="30"/>
    </w:rPr>
  </w:style>
  <w:style w:type="character" w:customStyle="1" w:styleId="45">
    <w:name w:val="Heading 4 Char"/>
    <w:basedOn w:val="5"/>
    <w:autoRedefine/>
    <w:qFormat/>
    <w:uiPriority w:val="9"/>
    <w:rPr>
      <w:rFonts w:ascii="Arial" w:hAnsi="Arial" w:eastAsia="Arial" w:cs="Arial"/>
      <w:b/>
      <w:bCs/>
      <w:sz w:val="26"/>
      <w:szCs w:val="26"/>
    </w:rPr>
  </w:style>
  <w:style w:type="character" w:customStyle="1" w:styleId="46">
    <w:name w:val="Heading 5 Char"/>
    <w:basedOn w:val="5"/>
    <w:autoRedefine/>
    <w:qFormat/>
    <w:uiPriority w:val="9"/>
    <w:rPr>
      <w:rFonts w:ascii="Arial" w:hAnsi="Arial" w:eastAsia="Arial" w:cs="Arial"/>
      <w:b/>
      <w:bCs/>
      <w:sz w:val="24"/>
      <w:szCs w:val="24"/>
    </w:rPr>
  </w:style>
  <w:style w:type="character" w:customStyle="1" w:styleId="47">
    <w:name w:val="Heading 6 Char"/>
    <w:basedOn w:val="5"/>
    <w:autoRedefine/>
    <w:qFormat/>
    <w:uiPriority w:val="9"/>
    <w:rPr>
      <w:rFonts w:ascii="Arial" w:hAnsi="Arial" w:eastAsia="Arial" w:cs="Arial"/>
      <w:b/>
      <w:bCs/>
      <w:sz w:val="22"/>
      <w:szCs w:val="22"/>
    </w:rPr>
  </w:style>
  <w:style w:type="character" w:customStyle="1" w:styleId="48">
    <w:name w:val="Heading 7 Char"/>
    <w:basedOn w:val="5"/>
    <w:autoRedefine/>
    <w:qFormat/>
    <w:uiPriority w:val="9"/>
    <w:rPr>
      <w:rFonts w:ascii="Arial" w:hAnsi="Arial" w:eastAsia="Arial" w:cs="Arial"/>
      <w:b/>
      <w:bCs/>
      <w:i/>
      <w:iCs/>
      <w:sz w:val="22"/>
      <w:szCs w:val="22"/>
    </w:rPr>
  </w:style>
  <w:style w:type="paragraph" w:customStyle="1" w:styleId="49">
    <w:name w:val="Título 81"/>
    <w:basedOn w:val="1"/>
    <w:next w:val="1"/>
    <w:link w:val="50"/>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50">
    <w:name w:val="Heading 8 Char"/>
    <w:basedOn w:val="5"/>
    <w:link w:val="49"/>
    <w:autoRedefine/>
    <w:qFormat/>
    <w:uiPriority w:val="9"/>
    <w:rPr>
      <w:rFonts w:ascii="Arial" w:hAnsi="Arial" w:eastAsia="Arial" w:cs="Arial"/>
      <w:i/>
      <w:iCs/>
      <w:sz w:val="22"/>
      <w:szCs w:val="22"/>
    </w:rPr>
  </w:style>
  <w:style w:type="paragraph" w:customStyle="1" w:styleId="51">
    <w:name w:val="Título 91"/>
    <w:basedOn w:val="1"/>
    <w:next w:val="1"/>
    <w:link w:val="52"/>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2">
    <w:name w:val="Heading 9 Char"/>
    <w:basedOn w:val="5"/>
    <w:link w:val="51"/>
    <w:autoRedefine/>
    <w:qFormat/>
    <w:uiPriority w:val="9"/>
    <w:rPr>
      <w:rFonts w:ascii="Arial" w:hAnsi="Arial" w:eastAsia="Arial" w:cs="Arial"/>
      <w:i/>
      <w:iCs/>
      <w:sz w:val="21"/>
      <w:szCs w:val="21"/>
    </w:rPr>
  </w:style>
  <w:style w:type="character" w:customStyle="1" w:styleId="53">
    <w:name w:val="Title Char"/>
    <w:basedOn w:val="5"/>
    <w:autoRedefine/>
    <w:qFormat/>
    <w:uiPriority w:val="10"/>
    <w:rPr>
      <w:sz w:val="48"/>
      <w:szCs w:val="48"/>
    </w:rPr>
  </w:style>
  <w:style w:type="character" w:customStyle="1" w:styleId="54">
    <w:name w:val="Subtítulo Char"/>
    <w:basedOn w:val="5"/>
    <w:link w:val="37"/>
    <w:autoRedefine/>
    <w:qFormat/>
    <w:uiPriority w:val="11"/>
    <w:rPr>
      <w:sz w:val="24"/>
      <w:szCs w:val="24"/>
    </w:rPr>
  </w:style>
  <w:style w:type="character" w:customStyle="1" w:styleId="55">
    <w:name w:val="Quote Char"/>
    <w:autoRedefine/>
    <w:qFormat/>
    <w:uiPriority w:val="29"/>
    <w:rPr>
      <w:i/>
    </w:rPr>
  </w:style>
  <w:style w:type="paragraph" w:styleId="56">
    <w:name w:val="Intense Quote"/>
    <w:basedOn w:val="1"/>
    <w:next w:val="1"/>
    <w:link w:val="57"/>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7">
    <w:name w:val="Citação Intensa Char"/>
    <w:link w:val="56"/>
    <w:autoRedefine/>
    <w:qFormat/>
    <w:uiPriority w:val="30"/>
    <w:rPr>
      <w:i/>
    </w:rPr>
  </w:style>
  <w:style w:type="character" w:customStyle="1" w:styleId="58">
    <w:name w:val="Header Char"/>
    <w:basedOn w:val="5"/>
    <w:autoRedefine/>
    <w:qFormat/>
    <w:uiPriority w:val="99"/>
  </w:style>
  <w:style w:type="character" w:customStyle="1" w:styleId="59">
    <w:name w:val="Footer Char"/>
    <w:basedOn w:val="5"/>
    <w:autoRedefine/>
    <w:qFormat/>
    <w:uiPriority w:val="99"/>
  </w:style>
  <w:style w:type="paragraph" w:customStyle="1" w:styleId="60">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1">
    <w:name w:val="Caption Char"/>
    <w:autoRedefine/>
    <w:qFormat/>
    <w:uiPriority w:val="99"/>
  </w:style>
  <w:style w:type="table" w:customStyle="1" w:styleId="62">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3">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4">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5">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8">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9">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70">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1">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2">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3">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4">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5">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6">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7">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8">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9">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0">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1">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2">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3">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4">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5">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6">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7">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8">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9">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90">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1">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2">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3">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4">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5">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6">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7">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8">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9">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100">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1">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2">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3">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5">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6">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7">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8">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9">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10">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1">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2">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3">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4">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5">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6">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7">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8">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9">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20">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1">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2">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3">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4">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5">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6">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7">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8">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9">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30">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1">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2">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3">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4">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5">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6">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7">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8">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9">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40">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1">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2">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3">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4">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5">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6">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7">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8">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9">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50">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1">
    <w:name w:val="List Table 5 Dark - Accent 6"/>
    <w:basedOn w:val="6"/>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2">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3">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4">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5">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6">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7">
    <w:name w:val="List Table 6 Colorful - Accent 5"/>
    <w:basedOn w:val="6"/>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8">
    <w:name w:val="List Table 6 Colorful - Accent 6"/>
    <w:basedOn w:val="6"/>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9">
    <w:name w:val="Tabela de Lista 7 Colorida1"/>
    <w:basedOn w:val="6"/>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60">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1">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2">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3">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4">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5">
    <w:name w:val="List Table 7 Colorful - Accent 6"/>
    <w:basedOn w:val="6"/>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6">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7">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8">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9">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0">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1">
    <w:name w:val="Lined - Accent 5"/>
    <w:basedOn w:val="6"/>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2">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3">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4">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5">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6">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7">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8">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9">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80">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1">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2">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3">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4">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5">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6">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7">
    <w:name w:val="Footnote Text Char"/>
    <w:autoRedefine/>
    <w:qFormat/>
    <w:uiPriority w:val="99"/>
    <w:rPr>
      <w:sz w:val="18"/>
    </w:rPr>
  </w:style>
  <w:style w:type="character" w:customStyle="1" w:styleId="188">
    <w:name w:val="Endnote Text Char"/>
    <w:autoRedefine/>
    <w:qFormat/>
    <w:uiPriority w:val="99"/>
    <w:rPr>
      <w:sz w:val="20"/>
    </w:rPr>
  </w:style>
  <w:style w:type="paragraph" w:customStyle="1" w:styleId="189">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90">
    <w:name w:val="Título 11"/>
    <w:basedOn w:val="1"/>
    <w:next w:val="1"/>
    <w:link w:val="197"/>
    <w:autoRedefine/>
    <w:qFormat/>
    <w:uiPriority w:val="0"/>
    <w:pPr>
      <w:keepNext/>
      <w:spacing w:before="240" w:after="60"/>
      <w:outlineLvl w:val="0"/>
    </w:pPr>
    <w:rPr>
      <w:rFonts w:ascii="Arial" w:hAnsi="Arial" w:cs="Arial"/>
      <w:b/>
      <w:bCs/>
      <w:sz w:val="32"/>
      <w:szCs w:val="32"/>
    </w:rPr>
  </w:style>
  <w:style w:type="paragraph" w:customStyle="1" w:styleId="191">
    <w:name w:val="Título 21"/>
    <w:basedOn w:val="1"/>
    <w:next w:val="1"/>
    <w:link w:val="198"/>
    <w:autoRedefine/>
    <w:qFormat/>
    <w:uiPriority w:val="0"/>
    <w:pPr>
      <w:keepNext/>
      <w:jc w:val="center"/>
      <w:outlineLvl w:val="1"/>
    </w:pPr>
    <w:rPr>
      <w:b/>
      <w:bCs/>
    </w:rPr>
  </w:style>
  <w:style w:type="paragraph" w:customStyle="1" w:styleId="192">
    <w:name w:val="Título 31"/>
    <w:basedOn w:val="1"/>
    <w:next w:val="1"/>
    <w:link w:val="199"/>
    <w:autoRedefine/>
    <w:qFormat/>
    <w:uiPriority w:val="0"/>
    <w:pPr>
      <w:keepNext/>
      <w:spacing w:before="240" w:after="60"/>
      <w:outlineLvl w:val="2"/>
    </w:pPr>
    <w:rPr>
      <w:rFonts w:ascii="Arial" w:hAnsi="Arial" w:cs="Arial"/>
      <w:b/>
      <w:bCs/>
      <w:sz w:val="26"/>
      <w:szCs w:val="26"/>
    </w:rPr>
  </w:style>
  <w:style w:type="paragraph" w:customStyle="1" w:styleId="193">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4">
    <w:name w:val="Título 51"/>
    <w:basedOn w:val="1"/>
    <w:next w:val="1"/>
    <w:link w:val="293"/>
    <w:autoRedefine/>
    <w:qFormat/>
    <w:uiPriority w:val="0"/>
    <w:pPr>
      <w:spacing w:before="240" w:after="60"/>
      <w:outlineLvl w:val="4"/>
    </w:pPr>
    <w:rPr>
      <w:b/>
      <w:bCs/>
      <w:i/>
      <w:iCs/>
      <w:sz w:val="26"/>
      <w:szCs w:val="26"/>
    </w:rPr>
  </w:style>
  <w:style w:type="paragraph" w:customStyle="1" w:styleId="195">
    <w:name w:val="Título 61"/>
    <w:basedOn w:val="1"/>
    <w:next w:val="1"/>
    <w:link w:val="294"/>
    <w:autoRedefine/>
    <w:qFormat/>
    <w:uiPriority w:val="0"/>
    <w:pPr>
      <w:spacing w:before="240" w:after="60"/>
      <w:outlineLvl w:val="5"/>
    </w:pPr>
    <w:rPr>
      <w:b/>
      <w:bCs/>
      <w:sz w:val="22"/>
      <w:szCs w:val="22"/>
    </w:rPr>
  </w:style>
  <w:style w:type="paragraph" w:customStyle="1" w:styleId="196">
    <w:name w:val="Título 71"/>
    <w:basedOn w:val="1"/>
    <w:next w:val="1"/>
    <w:link w:val="295"/>
    <w:autoRedefine/>
    <w:qFormat/>
    <w:uiPriority w:val="0"/>
    <w:pPr>
      <w:spacing w:before="240" w:after="60"/>
      <w:outlineLvl w:val="6"/>
    </w:pPr>
  </w:style>
  <w:style w:type="character" w:customStyle="1" w:styleId="197">
    <w:name w:val="Título 1 Char"/>
    <w:basedOn w:val="5"/>
    <w:link w:val="190"/>
    <w:autoRedefine/>
    <w:qFormat/>
    <w:uiPriority w:val="9"/>
    <w:rPr>
      <w:rFonts w:ascii="Arial" w:hAnsi="Arial" w:eastAsia="Times New Roman" w:cs="Arial"/>
      <w:b/>
      <w:bCs/>
      <w:sz w:val="32"/>
      <w:szCs w:val="32"/>
      <w:lang w:eastAsia="pt-BR"/>
    </w:rPr>
  </w:style>
  <w:style w:type="character" w:customStyle="1" w:styleId="198">
    <w:name w:val="Título 2 Char"/>
    <w:basedOn w:val="5"/>
    <w:link w:val="191"/>
    <w:autoRedefine/>
    <w:qFormat/>
    <w:uiPriority w:val="99"/>
    <w:rPr>
      <w:rFonts w:ascii="Times New Roman" w:hAnsi="Times New Roman" w:eastAsia="Times New Roman" w:cs="Times New Roman"/>
      <w:b/>
      <w:bCs/>
      <w:sz w:val="24"/>
      <w:szCs w:val="24"/>
      <w:lang w:eastAsia="pt-BR"/>
    </w:rPr>
  </w:style>
  <w:style w:type="character" w:customStyle="1" w:styleId="199">
    <w:name w:val="Título 3 Char"/>
    <w:basedOn w:val="5"/>
    <w:link w:val="192"/>
    <w:autoRedefine/>
    <w:qFormat/>
    <w:uiPriority w:val="99"/>
    <w:rPr>
      <w:rFonts w:ascii="Arial" w:hAnsi="Arial" w:eastAsia="Times New Roman" w:cs="Arial"/>
      <w:b/>
      <w:bCs/>
      <w:sz w:val="26"/>
      <w:szCs w:val="26"/>
      <w:lang w:eastAsia="pt-BR"/>
    </w:rPr>
  </w:style>
  <w:style w:type="paragraph" w:customStyle="1" w:styleId="200">
    <w:name w:val="WW-Corpo de texto 2"/>
    <w:basedOn w:val="1"/>
    <w:autoRedefine/>
    <w:qFormat/>
    <w:uiPriority w:val="99"/>
    <w:pPr>
      <w:widowControl w:val="0"/>
      <w:tabs>
        <w:tab w:val="left" w:pos="5954"/>
      </w:tabs>
      <w:jc w:val="both"/>
    </w:pPr>
    <w:rPr>
      <w:sz w:val="20"/>
      <w:szCs w:val="20"/>
    </w:rPr>
  </w:style>
  <w:style w:type="character" w:customStyle="1" w:styleId="201">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2">
    <w:name w:val="Cabeçalho1"/>
    <w:basedOn w:val="1"/>
    <w:link w:val="203"/>
    <w:autoRedefine/>
    <w:qFormat/>
    <w:uiPriority w:val="99"/>
    <w:pPr>
      <w:tabs>
        <w:tab w:val="center" w:pos="4252"/>
        <w:tab w:val="right" w:pos="8504"/>
      </w:tabs>
    </w:pPr>
  </w:style>
  <w:style w:type="character" w:customStyle="1" w:styleId="203">
    <w:name w:val="Cabeçalho Char"/>
    <w:basedOn w:val="5"/>
    <w:link w:val="202"/>
    <w:autoRedefine/>
    <w:qFormat/>
    <w:uiPriority w:val="99"/>
    <w:rPr>
      <w:rFonts w:ascii="Times New Roman" w:hAnsi="Times New Roman" w:eastAsia="Times New Roman" w:cs="Times New Roman"/>
      <w:sz w:val="24"/>
      <w:szCs w:val="24"/>
      <w:lang w:eastAsia="pt-BR"/>
    </w:rPr>
  </w:style>
  <w:style w:type="paragraph" w:customStyle="1" w:styleId="204">
    <w:name w:val="Rodapé1"/>
    <w:basedOn w:val="1"/>
    <w:link w:val="205"/>
    <w:autoRedefine/>
    <w:qFormat/>
    <w:uiPriority w:val="99"/>
    <w:pPr>
      <w:tabs>
        <w:tab w:val="center" w:pos="4252"/>
        <w:tab w:val="right" w:pos="8504"/>
      </w:tabs>
    </w:pPr>
  </w:style>
  <w:style w:type="character" w:customStyle="1" w:styleId="205">
    <w:name w:val="Rodapé Char"/>
    <w:basedOn w:val="5"/>
    <w:link w:val="204"/>
    <w:autoRedefine/>
    <w:qFormat/>
    <w:uiPriority w:val="99"/>
    <w:rPr>
      <w:rFonts w:ascii="Times New Roman" w:hAnsi="Times New Roman" w:eastAsia="Times New Roman" w:cs="Times New Roman"/>
      <w:sz w:val="24"/>
      <w:szCs w:val="24"/>
      <w:lang w:eastAsia="pt-BR"/>
    </w:rPr>
  </w:style>
  <w:style w:type="character" w:customStyle="1" w:styleId="206">
    <w:name w:val="Texto de balão Char"/>
    <w:basedOn w:val="5"/>
    <w:link w:val="36"/>
    <w:autoRedefine/>
    <w:qFormat/>
    <w:uiPriority w:val="0"/>
    <w:rPr>
      <w:rFonts w:ascii="Tahoma" w:hAnsi="Tahoma" w:eastAsia="Times New Roman" w:cs="Tahoma"/>
      <w:sz w:val="16"/>
      <w:szCs w:val="16"/>
      <w:lang w:eastAsia="pt-BR"/>
    </w:rPr>
  </w:style>
  <w:style w:type="character" w:customStyle="1" w:styleId="207">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8">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9">
    <w:name w:val="tex3"/>
    <w:basedOn w:val="5"/>
    <w:autoRedefine/>
    <w:qFormat/>
    <w:uiPriority w:val="0"/>
    <w:rPr>
      <w:rFonts w:cs="Times New Roman"/>
    </w:rPr>
  </w:style>
  <w:style w:type="character" w:customStyle="1" w:styleId="210">
    <w:name w:val="tex31"/>
    <w:basedOn w:val="5"/>
    <w:autoRedefine/>
    <w:qFormat/>
    <w:uiPriority w:val="99"/>
    <w:rPr>
      <w:rFonts w:ascii="Verdana" w:hAnsi="Verdana" w:cs="Times New Roman"/>
      <w:color w:val="000000"/>
      <w:sz w:val="11"/>
      <w:szCs w:val="11"/>
    </w:rPr>
  </w:style>
  <w:style w:type="character" w:customStyle="1" w:styleId="211">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2">
    <w:name w:val="apple-style-span"/>
    <w:basedOn w:val="5"/>
    <w:autoRedefine/>
    <w:qFormat/>
    <w:uiPriority w:val="99"/>
    <w:rPr>
      <w:rFonts w:cs="Times New Roman"/>
    </w:rPr>
  </w:style>
  <w:style w:type="character" w:customStyle="1" w:styleId="213">
    <w:name w:val="color1"/>
    <w:basedOn w:val="5"/>
    <w:autoRedefine/>
    <w:qFormat/>
    <w:uiPriority w:val="99"/>
    <w:rPr>
      <w:rFonts w:ascii="Arial" w:hAnsi="Arial" w:cs="Arial"/>
      <w:color w:val="000000"/>
    </w:rPr>
  </w:style>
  <w:style w:type="character" w:customStyle="1" w:styleId="214">
    <w:name w:val="glossario1"/>
    <w:basedOn w:val="5"/>
    <w:autoRedefine/>
    <w:qFormat/>
    <w:uiPriority w:val="99"/>
    <w:rPr>
      <w:rFonts w:cs="Times New Roman"/>
      <w:b/>
      <w:bCs/>
      <w:color w:val="333333"/>
      <w:u w:val="single"/>
    </w:rPr>
  </w:style>
  <w:style w:type="character" w:customStyle="1" w:styleId="215">
    <w:name w:val="apple-converted-space"/>
    <w:basedOn w:val="5"/>
    <w:autoRedefine/>
    <w:qFormat/>
    <w:uiPriority w:val="0"/>
    <w:rPr>
      <w:rFonts w:cs="Times New Roman"/>
    </w:rPr>
  </w:style>
  <w:style w:type="character" w:customStyle="1" w:styleId="216">
    <w:name w:val="glossario-class"/>
    <w:basedOn w:val="5"/>
    <w:autoRedefine/>
    <w:qFormat/>
    <w:uiPriority w:val="99"/>
    <w:rPr>
      <w:rFonts w:cs="Times New Roman"/>
    </w:rPr>
  </w:style>
  <w:style w:type="character" w:customStyle="1" w:styleId="217">
    <w:name w:val="estdescrprod1"/>
    <w:basedOn w:val="5"/>
    <w:autoRedefine/>
    <w:qFormat/>
    <w:uiPriority w:val="99"/>
    <w:rPr>
      <w:rFonts w:ascii="Tahoma" w:hAnsi="Tahoma" w:cs="Tahoma"/>
      <w:color w:val="333333"/>
      <w:sz w:val="18"/>
      <w:szCs w:val="18"/>
    </w:rPr>
  </w:style>
  <w:style w:type="paragraph" w:customStyle="1" w:styleId="218">
    <w:name w:val="texto"/>
    <w:basedOn w:val="1"/>
    <w:autoRedefine/>
    <w:qFormat/>
    <w:uiPriority w:val="99"/>
    <w:pPr>
      <w:spacing w:before="100" w:beforeAutospacing="1" w:after="100" w:afterAutospacing="1"/>
    </w:pPr>
  </w:style>
  <w:style w:type="character" w:customStyle="1" w:styleId="219">
    <w:name w:val="txtproduto"/>
    <w:basedOn w:val="5"/>
    <w:autoRedefine/>
    <w:qFormat/>
    <w:uiPriority w:val="99"/>
    <w:rPr>
      <w:rFonts w:cs="Times New Roman"/>
    </w:rPr>
  </w:style>
  <w:style w:type="paragraph" w:customStyle="1" w:styleId="220">
    <w:name w:val="List Paragraph1"/>
    <w:basedOn w:val="1"/>
    <w:autoRedefine/>
    <w:qFormat/>
    <w:uiPriority w:val="99"/>
    <w:pPr>
      <w:ind w:left="720"/>
      <w:contextualSpacing/>
    </w:pPr>
  </w:style>
  <w:style w:type="paragraph" w:customStyle="1" w:styleId="221">
    <w:name w:val="western"/>
    <w:basedOn w:val="1"/>
    <w:autoRedefine/>
    <w:qFormat/>
    <w:uiPriority w:val="99"/>
    <w:pPr>
      <w:spacing w:before="100" w:beforeAutospacing="1" w:after="119"/>
    </w:pPr>
  </w:style>
  <w:style w:type="paragraph" w:customStyle="1" w:styleId="222">
    <w:name w:val="Default"/>
    <w:autoRedefine/>
    <w:qFormat/>
    <w:uiPriority w:val="0"/>
    <w:rPr>
      <w:rFonts w:ascii="Arial" w:hAnsi="Arial" w:eastAsia="Times New Roman" w:cs="Arial"/>
      <w:color w:val="000000"/>
      <w:sz w:val="24"/>
      <w:szCs w:val="24"/>
      <w:lang w:val="pt-BR" w:eastAsia="pt-BR" w:bidi="ar-SA"/>
    </w:rPr>
  </w:style>
  <w:style w:type="paragraph" w:styleId="223">
    <w:name w:val="List Paragraph"/>
    <w:basedOn w:val="1"/>
    <w:autoRedefine/>
    <w:qFormat/>
    <w:uiPriority w:val="34"/>
    <w:pPr>
      <w:ind w:left="720"/>
      <w:contextualSpacing/>
    </w:pPr>
  </w:style>
  <w:style w:type="character" w:customStyle="1" w:styleId="224">
    <w:name w:val="Texto de nota de rodapé Char"/>
    <w:basedOn w:val="5"/>
    <w:link w:val="38"/>
    <w:autoRedefine/>
    <w:semiHidden/>
    <w:qFormat/>
    <w:uiPriority w:val="99"/>
    <w:rPr>
      <w:rFonts w:ascii="Times New Roman" w:hAnsi="Times New Roman" w:eastAsia="Times New Roman" w:cs="Times New Roman"/>
      <w:sz w:val="20"/>
      <w:szCs w:val="20"/>
      <w:lang w:eastAsia="pt-BR"/>
    </w:rPr>
  </w:style>
  <w:style w:type="table" w:customStyle="1" w:styleId="225">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6">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7">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8">
    <w:name w:val="ec_msonormal"/>
    <w:basedOn w:val="1"/>
    <w:autoRedefine/>
    <w:qFormat/>
    <w:uiPriority w:val="0"/>
    <w:pPr>
      <w:spacing w:after="324"/>
    </w:pPr>
  </w:style>
  <w:style w:type="paragraph" w:customStyle="1" w:styleId="229">
    <w:name w:val="WW-Corpo de texto 3"/>
    <w:basedOn w:val="1"/>
    <w:autoRedefine/>
    <w:qFormat/>
    <w:uiPriority w:val="0"/>
    <w:pPr>
      <w:widowControl w:val="0"/>
      <w:jc w:val="both"/>
    </w:pPr>
    <w:rPr>
      <w:rFonts w:ascii="Arial" w:hAnsi="Arial" w:eastAsia="Tahoma" w:cs="Arial"/>
      <w:b/>
      <w:sz w:val="20"/>
      <w:szCs w:val="20"/>
    </w:rPr>
  </w:style>
  <w:style w:type="paragraph" w:customStyle="1" w:styleId="230">
    <w:name w:val="Sem Espaçamento1"/>
    <w:autoRedefine/>
    <w:qFormat/>
    <w:uiPriority w:val="0"/>
    <w:rPr>
      <w:rFonts w:ascii="Calibri" w:hAnsi="Calibri" w:eastAsia="Times New Roman" w:cs="Times New Roman"/>
      <w:sz w:val="22"/>
      <w:szCs w:val="22"/>
      <w:lang w:val="pt-BR" w:eastAsia="en-US" w:bidi="ar-SA"/>
    </w:rPr>
  </w:style>
  <w:style w:type="paragraph" w:customStyle="1" w:styleId="231">
    <w:name w:val="Sem Espaçamento2"/>
    <w:autoRedefine/>
    <w:qFormat/>
    <w:uiPriority w:val="0"/>
    <w:rPr>
      <w:rFonts w:ascii="Calibri" w:hAnsi="Calibri" w:eastAsia="Times New Roman" w:cs="Times New Roman"/>
      <w:sz w:val="22"/>
      <w:szCs w:val="22"/>
      <w:lang w:val="pt-BR" w:eastAsia="en-US" w:bidi="ar-SA"/>
    </w:rPr>
  </w:style>
  <w:style w:type="character" w:customStyle="1" w:styleId="232">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3">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4">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5">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6">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7">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8">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9">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1"/>
    <w:basedOn w:val="1"/>
    <w:autoRedefine/>
    <w:qFormat/>
    <w:uiPriority w:val="0"/>
    <w:pPr>
      <w:spacing w:before="100" w:beforeAutospacing="1" w:after="100" w:afterAutospacing="1"/>
    </w:pPr>
    <w:rPr>
      <w:rFonts w:ascii="Arial" w:hAnsi="Arial" w:cs="Arial"/>
      <w:sz w:val="16"/>
      <w:szCs w:val="16"/>
    </w:rPr>
  </w:style>
  <w:style w:type="paragraph" w:customStyle="1" w:styleId="242">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4">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5">
    <w:name w:val="xl75"/>
    <w:basedOn w:val="1"/>
    <w:autoRedefine/>
    <w:qFormat/>
    <w:uiPriority w:val="0"/>
    <w:pPr>
      <w:spacing w:before="100" w:beforeAutospacing="1" w:after="100" w:afterAutospacing="1"/>
    </w:pPr>
    <w:rPr>
      <w:rFonts w:ascii="Arial" w:hAnsi="Arial" w:cs="Arial"/>
      <w:sz w:val="16"/>
      <w:szCs w:val="16"/>
    </w:rPr>
  </w:style>
  <w:style w:type="paragraph" w:customStyle="1" w:styleId="246">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7">
    <w:name w:val="xl77"/>
    <w:basedOn w:val="1"/>
    <w:autoRedefine/>
    <w:qFormat/>
    <w:uiPriority w:val="0"/>
    <w:pPr>
      <w:spacing w:before="100" w:beforeAutospacing="1" w:after="100" w:afterAutospacing="1"/>
    </w:pPr>
    <w:rPr>
      <w:rFonts w:ascii="Arial" w:hAnsi="Arial" w:cs="Arial"/>
      <w:sz w:val="16"/>
      <w:szCs w:val="16"/>
    </w:rPr>
  </w:style>
  <w:style w:type="paragraph" w:customStyle="1" w:styleId="248">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9">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0">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1">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2">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3">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4">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5">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60">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1">
    <w:name w:val="xl91"/>
    <w:basedOn w:val="1"/>
    <w:autoRedefine/>
    <w:qFormat/>
    <w:uiPriority w:val="0"/>
    <w:pPr>
      <w:spacing w:before="100" w:beforeAutospacing="1" w:after="100" w:afterAutospacing="1"/>
    </w:pPr>
    <w:rPr>
      <w:rFonts w:ascii="Arial" w:hAnsi="Arial" w:cs="Arial"/>
      <w:sz w:val="16"/>
      <w:szCs w:val="16"/>
    </w:rPr>
  </w:style>
  <w:style w:type="paragraph" w:customStyle="1" w:styleId="262">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3">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5">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6">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7">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8">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9">
    <w:name w:val="description__descriptionui-xdq6yf-0"/>
    <w:basedOn w:val="5"/>
    <w:autoRedefine/>
    <w:qFormat/>
    <w:uiPriority w:val="0"/>
  </w:style>
  <w:style w:type="character" w:customStyle="1" w:styleId="270">
    <w:name w:val="Link da Internet"/>
    <w:autoRedefine/>
    <w:qFormat/>
    <w:uiPriority w:val="0"/>
    <w:rPr>
      <w:color w:val="000080"/>
      <w:u w:val="single"/>
    </w:rPr>
  </w:style>
  <w:style w:type="paragraph" w:customStyle="1" w:styleId="271">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11"/>
    <w:basedOn w:val="1"/>
    <w:autoRedefine/>
    <w:qFormat/>
    <w:uiPriority w:val="0"/>
    <w:pPr>
      <w:widowControl w:val="0"/>
      <w:ind w:left="1701" w:hanging="850"/>
      <w:jc w:val="both"/>
    </w:pPr>
    <w:rPr>
      <w:sz w:val="20"/>
      <w:szCs w:val="20"/>
    </w:rPr>
  </w:style>
  <w:style w:type="paragraph" w:customStyle="1" w:styleId="273">
    <w:name w:val="Body Text 21"/>
    <w:basedOn w:val="1"/>
    <w:autoRedefine/>
    <w:qFormat/>
    <w:uiPriority w:val="0"/>
    <w:pPr>
      <w:widowControl w:val="0"/>
      <w:jc w:val="both"/>
    </w:pPr>
    <w:rPr>
      <w:sz w:val="20"/>
      <w:szCs w:val="20"/>
    </w:rPr>
  </w:style>
  <w:style w:type="paragraph" w:customStyle="1" w:styleId="274">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5">
    <w:name w:val="Recuo de corpo de texto 21"/>
    <w:basedOn w:val="1"/>
    <w:autoRedefine/>
    <w:qFormat/>
    <w:uiPriority w:val="0"/>
    <w:pPr>
      <w:widowControl w:val="0"/>
      <w:tabs>
        <w:tab w:val="left" w:pos="29778"/>
      </w:tabs>
      <w:spacing w:before="120"/>
      <w:ind w:left="709" w:hanging="709"/>
      <w:jc w:val="both"/>
    </w:pPr>
  </w:style>
  <w:style w:type="paragraph" w:customStyle="1" w:styleId="276">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7">
    <w:name w:val="Cabeçalho11"/>
    <w:basedOn w:val="1"/>
    <w:autoRedefine/>
    <w:qFormat/>
    <w:uiPriority w:val="99"/>
    <w:pPr>
      <w:widowControl w:val="0"/>
      <w:suppressLineNumbers/>
      <w:tabs>
        <w:tab w:val="center" w:pos="4818"/>
        <w:tab w:val="right" w:pos="9637"/>
      </w:tabs>
    </w:pPr>
  </w:style>
  <w:style w:type="paragraph" w:customStyle="1" w:styleId="278">
    <w:name w:val="WW-Texto simples"/>
    <w:basedOn w:val="1"/>
    <w:autoRedefine/>
    <w:qFormat/>
    <w:uiPriority w:val="0"/>
    <w:rPr>
      <w:rFonts w:ascii="Courier New" w:hAnsi="Courier New"/>
      <w:sz w:val="20"/>
      <w:szCs w:val="20"/>
    </w:rPr>
  </w:style>
  <w:style w:type="paragraph" w:styleId="279">
    <w:name w:val="Quote"/>
    <w:basedOn w:val="1"/>
    <w:next w:val="1"/>
    <w:link w:val="280"/>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80">
    <w:name w:val="Citação Char"/>
    <w:basedOn w:val="5"/>
    <w:link w:val="279"/>
    <w:autoRedefine/>
    <w:qFormat/>
    <w:uiPriority w:val="0"/>
    <w:rPr>
      <w:rFonts w:ascii="Arial" w:hAnsi="Arial" w:eastAsia="Calibri" w:cs="Tahoma"/>
      <w:i/>
      <w:iCs/>
      <w:color w:val="000000"/>
      <w:sz w:val="20"/>
      <w:szCs w:val="24"/>
      <w:shd w:val="clear" w:color="auto" w:fill="FFFFCC"/>
    </w:rPr>
  </w:style>
  <w:style w:type="paragraph" w:customStyle="1" w:styleId="281">
    <w:name w:val="Nivel 01"/>
    <w:basedOn w:val="190"/>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8"/>
    <w:link w:val="281"/>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3"/>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4"/>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5"/>
    <w:autoRedefine/>
    <w:qFormat/>
    <w:uiPriority w:val="0"/>
    <w:rPr>
      <w:rFonts w:ascii="Times New Roman" w:hAnsi="Times New Roman" w:eastAsia="Times New Roman" w:cs="Times New Roman"/>
      <w:b/>
      <w:bCs/>
      <w:lang w:eastAsia="pt-BR"/>
    </w:rPr>
  </w:style>
  <w:style w:type="character" w:customStyle="1" w:styleId="295">
    <w:name w:val="Título 7 Char"/>
    <w:basedOn w:val="5"/>
    <w:link w:val="196"/>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40"/>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4"/>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autoRedefine/>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autoRedefine/>
    <w:qFormat/>
    <w:locked/>
    <w:uiPriority w:val="0"/>
    <w:rPr>
      <w:rFonts w:ascii="Arial" w:hAnsi="Arial" w:cs="Arial"/>
      <w:color w:val="000000"/>
      <w:lang w:eastAsia="pt-BR"/>
    </w:rPr>
  </w:style>
  <w:style w:type="paragraph" w:customStyle="1" w:styleId="306">
    <w:name w:val="Nivel 2"/>
    <w:basedOn w:val="1"/>
    <w:link w:val="305"/>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autoRedefine/>
    <w:qFormat/>
    <w:uiPriority w:val="0"/>
    <w:pPr>
      <w:ind w:left="851"/>
    </w:pPr>
  </w:style>
  <w:style w:type="character" w:customStyle="1" w:styleId="310">
    <w:name w:val="Nivel 3 Char"/>
    <w:basedOn w:val="5"/>
    <w:link w:val="307"/>
    <w:autoRedefine/>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2"/>
      <w:szCs w:val="22"/>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autoRedefine/>
    <w:qFormat/>
    <w:locked/>
    <w:uiPriority w:val="0"/>
    <w:rPr>
      <w:rFonts w:ascii="Arial" w:hAnsi="Arial" w:cs="Arial" w:eastAsiaTheme="minorEastAsia"/>
      <w:sz w:val="20"/>
      <w:szCs w:val="20"/>
      <w:lang w:eastAsia="pt-BR"/>
    </w:rPr>
  </w:style>
  <w:style w:type="character" w:customStyle="1" w:styleId="315">
    <w:name w:val="Menção Pendente1"/>
    <w:basedOn w:val="5"/>
    <w:autoRedefine/>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autoRedefine/>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autoRedefine/>
    <w:qFormat/>
    <w:locked/>
    <w:uiPriority w:val="0"/>
    <w:rPr>
      <w:rFonts w:ascii="Arial" w:hAnsi="Arial" w:cs="Arial"/>
      <w:sz w:val="22"/>
      <w:szCs w:val="22"/>
      <w:lang w:eastAsia="en-US"/>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autoRedefine/>
    <w:qFormat/>
    <w:locked/>
    <w:uiPriority w:val="0"/>
    <w:rPr>
      <w:rFonts w:ascii="Arial" w:hAnsi="Arial" w:cs="Arial"/>
      <w:sz w:val="22"/>
      <w:szCs w:val="22"/>
      <w:lang w:eastAsia="en-US"/>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sz w:val="22"/>
      <w:szCs w:val="22"/>
      <w:lang w:eastAsia="en-US"/>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autoRedefine/>
    <w:qFormat/>
    <w:uiPriority w:val="0"/>
    <w:rPr>
      <w:rFonts w:hint="default" w:ascii="Times New Roman" w:hAnsi="Times New Roman" w:cs="Times New Roman"/>
      <w:color w:val="000080"/>
      <w:u w:val="single"/>
    </w:rPr>
  </w:style>
  <w:style w:type="character" w:customStyle="1" w:styleId="328">
    <w:name w:val="16"/>
    <w:basedOn w:val="5"/>
    <w:autoRedefine/>
    <w:qFormat/>
    <w:uiPriority w:val="0"/>
    <w:rPr>
      <w:rFonts w:hint="default" w:ascii="Times New Roman" w:hAnsi="Times New Roman" w:cs="Times New Roman"/>
      <w:color w:val="000080"/>
      <w:u w:val="single"/>
    </w:rPr>
  </w:style>
  <w:style w:type="paragraph" w:customStyle="1" w:styleId="329">
    <w:name w:val="No Spacing1"/>
    <w:basedOn w:val="1"/>
    <w:autoRedefine/>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6">
    <w:name w:val="Text body"/>
    <w:basedOn w:val="301"/>
    <w:autoRedefine/>
    <w:qFormat/>
    <w:uiPriority w:val="0"/>
    <w:pPr>
      <w:widowControl/>
      <w:spacing w:after="140" w:line="276" w:lineRule="auto"/>
    </w:pPr>
    <w:rPr>
      <w:rFonts w:eastAsia="Noto Serif CJK SC" w:cs="Lohit Devanagari"/>
    </w:rPr>
  </w:style>
  <w:style w:type="paragraph" w:customStyle="1" w:styleId="337">
    <w:name w:val="Table Contents"/>
    <w:basedOn w:val="301"/>
    <w:qFormat/>
    <w:uiPriority w:val="0"/>
    <w:pPr>
      <w:suppressLineNumbers/>
    </w:pPr>
    <w:rPr>
      <w:rFonts w:eastAsia="Noto Serif CJK SC" w:cs="Lohit Devanagari"/>
    </w:rPr>
  </w:style>
  <w:style w:type="character" w:customStyle="1" w:styleId="338">
    <w:name w:val="Internet link"/>
    <w:qFormat/>
    <w:uiPriority w:val="0"/>
    <w:rPr>
      <w:color w:val="0000FF"/>
      <w:u w:val="single"/>
    </w:rPr>
  </w:style>
  <w:style w:type="character" w:customStyle="1" w:styleId="339">
    <w:name w:val="markedcontent"/>
    <w:basedOn w:val="5"/>
    <w:qFormat/>
    <w:uiPriority w:val="0"/>
  </w:style>
  <w:style w:type="character" w:customStyle="1" w:styleId="340">
    <w:name w:val="Forte1"/>
    <w:basedOn w:val="341"/>
    <w:link w:val="1"/>
    <w:qFormat/>
    <w:uiPriority w:val="0"/>
    <w:rPr>
      <w:rFonts w:ascii="Times New Roman" w:hAnsi="Times New Roman" w:eastAsia="Times New Roman" w:cs="Times New Roman"/>
      <w:sz w:val="24"/>
      <w:szCs w:val="24"/>
      <w:lang w:val="pt-BR" w:eastAsia="pt-BR" w:bidi="ar-SA"/>
    </w:rPr>
  </w:style>
  <w:style w:type="character" w:customStyle="1" w:styleId="341">
    <w:name w:val="Fonte parág. padrão11"/>
    <w:link w:val="1"/>
    <w:qFormat/>
    <w:uiPriority w:val="0"/>
  </w:style>
  <w:style w:type="table" w:customStyle="1" w:styleId="342">
    <w:name w:val="Tabela com grade1"/>
    <w:basedOn w:val="34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3">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4">
    <w:name w:val="2"/>
    <w:basedOn w:val="345"/>
    <w:autoRedefine/>
    <w:qFormat/>
    <w:uiPriority w:val="0"/>
    <w:tblPr>
      <w:tblCellMar>
        <w:top w:w="0" w:type="dxa"/>
        <w:left w:w="108" w:type="dxa"/>
        <w:bottom w:w="0" w:type="dxa"/>
        <w:right w:w="108" w:type="dxa"/>
      </w:tblCellMar>
    </w:tblPr>
  </w:style>
  <w:style w:type="table" w:customStyle="1" w:styleId="345">
    <w:name w:val="Table Normal1"/>
    <w:autoRedefine/>
    <w:qFormat/>
    <w:uiPriority w:val="0"/>
    <w:tblPr>
      <w:tblCellMar>
        <w:top w:w="0" w:type="dxa"/>
        <w:left w:w="0" w:type="dxa"/>
        <w:bottom w:w="0" w:type="dxa"/>
        <w:right w:w="0" w:type="dxa"/>
      </w:tblCellMar>
    </w:tblPr>
  </w:style>
  <w:style w:type="table" w:customStyle="1" w:styleId="346">
    <w:name w:val="1"/>
    <w:basedOn w:val="345"/>
    <w:qFormat/>
    <w:uiPriority w:val="0"/>
    <w:tblPr>
      <w:tblCellMar>
        <w:top w:w="100" w:type="dxa"/>
        <w:left w:w="100" w:type="dxa"/>
        <w:bottom w:w="100" w:type="dxa"/>
        <w:right w:w="100" w:type="dxa"/>
      </w:tblCellMar>
    </w:tblPr>
  </w:style>
  <w:style w:type="table" w:customStyle="1" w:styleId="347">
    <w:name w:val="5"/>
    <w:basedOn w:val="345"/>
    <w:autoRedefine/>
    <w:qFormat/>
    <w:uiPriority w:val="0"/>
    <w:tblPr>
      <w:tblCellMar>
        <w:top w:w="100" w:type="dxa"/>
        <w:left w:w="100" w:type="dxa"/>
        <w:bottom w:w="100" w:type="dxa"/>
        <w:right w:w="100" w:type="dxa"/>
      </w:tblCellMar>
    </w:tblPr>
  </w:style>
  <w:style w:type="table" w:customStyle="1" w:styleId="348">
    <w:name w:val="4"/>
    <w:basedOn w:val="345"/>
    <w:qFormat/>
    <w:uiPriority w:val="0"/>
    <w:tblPr>
      <w:tblCellMar>
        <w:top w:w="100" w:type="dxa"/>
        <w:left w:w="100" w:type="dxa"/>
        <w:bottom w:w="100" w:type="dxa"/>
        <w:right w:w="100" w:type="dxa"/>
      </w:tblCellMar>
    </w:tblPr>
  </w:style>
  <w:style w:type="table" w:customStyle="1" w:styleId="349">
    <w:name w:val="3"/>
    <w:basedOn w:val="345"/>
    <w:autoRedefine/>
    <w:qFormat/>
    <w:uiPriority w:val="0"/>
    <w:tblPr>
      <w:tblCellMar>
        <w:top w:w="0" w:type="dxa"/>
        <w:left w:w="108" w:type="dxa"/>
        <w:bottom w:w="0" w:type="dxa"/>
        <w:right w:w="108" w:type="dxa"/>
      </w:tblCellMar>
    </w:tblPr>
  </w:style>
  <w:style w:type="paragraph" w:customStyle="1" w:styleId="350">
    <w:name w:val="Table Paragraph"/>
    <w:basedOn w:val="1"/>
    <w:qFormat/>
    <w:uiPriority w:val="1"/>
  </w:style>
  <w:style w:type="table" w:customStyle="1" w:styleId="351">
    <w:name w:val="_Style 64"/>
    <w:basedOn w:val="332"/>
    <w:qFormat/>
    <w:uiPriority w:val="0"/>
    <w:tblPr>
      <w:tblCellMar>
        <w:top w:w="100" w:type="dxa"/>
        <w:left w:w="100" w:type="dxa"/>
        <w:bottom w:w="100" w:type="dxa"/>
        <w:right w:w="100" w:type="dxa"/>
      </w:tblCellMar>
    </w:tblPr>
  </w:style>
  <w:style w:type="paragraph" w:customStyle="1" w:styleId="352">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3">
    <w:name w:val="fontstyle01"/>
    <w:qFormat/>
    <w:uiPriority w:val="0"/>
    <w:rPr>
      <w:rFonts w:ascii="ArialMT;Times New Roman" w:hAnsi="ArialMT;Times New Roman" w:cs="ArialMT;Times New Roman"/>
      <w:color w:val="000000"/>
      <w:sz w:val="20"/>
      <w:szCs w:val="20"/>
    </w:rPr>
  </w:style>
  <w:style w:type="table" w:customStyle="1" w:styleId="354">
    <w:name w:val="_Style 115"/>
    <w:basedOn w:val="332"/>
    <w:qFormat/>
    <w:uiPriority w:val="0"/>
    <w:tblPr>
      <w:tblCellMar>
        <w:top w:w="100" w:type="dxa"/>
        <w:left w:w="100" w:type="dxa"/>
        <w:bottom w:w="100" w:type="dxa"/>
        <w:right w:w="100" w:type="dxa"/>
      </w:tblCellMar>
    </w:tblPr>
  </w:style>
  <w:style w:type="table" w:customStyle="1" w:styleId="355">
    <w:name w:val="_Style 108"/>
    <w:basedOn w:val="332"/>
    <w:qFormat/>
    <w:uiPriority w:val="0"/>
    <w:tblPr>
      <w:tblCellMar>
        <w:top w:w="0" w:type="dxa"/>
        <w:left w:w="115" w:type="dxa"/>
        <w:bottom w:w="0" w:type="dxa"/>
        <w:right w:w="115" w:type="dxa"/>
      </w:tblCellMar>
    </w:tblPr>
  </w:style>
  <w:style w:type="table" w:customStyle="1" w:styleId="356">
    <w:name w:val="_Style 122"/>
    <w:basedOn w:val="332"/>
    <w:qFormat/>
    <w:uiPriority w:val="0"/>
    <w:tblPr>
      <w:tblCellMar>
        <w:top w:w="0" w:type="dxa"/>
        <w:left w:w="108" w:type="dxa"/>
        <w:bottom w:w="0" w:type="dxa"/>
        <w:right w:w="108" w:type="dxa"/>
      </w:tblCellMar>
    </w:tblPr>
  </w:style>
  <w:style w:type="table" w:customStyle="1" w:styleId="357">
    <w:name w:val="_Style 127"/>
    <w:basedOn w:val="332"/>
    <w:qFormat/>
    <w:uiPriority w:val="0"/>
    <w:tblPr>
      <w:tblCellMar>
        <w:top w:w="0" w:type="dxa"/>
        <w:left w:w="108" w:type="dxa"/>
        <w:bottom w:w="0" w:type="dxa"/>
        <w:right w:w="108" w:type="dxa"/>
      </w:tblCellMar>
    </w:tblPr>
  </w:style>
  <w:style w:type="table" w:customStyle="1" w:styleId="358">
    <w:name w:val="_Style 138"/>
    <w:basedOn w:val="332"/>
    <w:qFormat/>
    <w:uiPriority w:val="0"/>
    <w:tblPr>
      <w:tblCellMar>
        <w:top w:w="0" w:type="dxa"/>
        <w:left w:w="108" w:type="dxa"/>
        <w:bottom w:w="0" w:type="dxa"/>
        <w:right w:w="108" w:type="dxa"/>
      </w:tblCellMar>
    </w:tblPr>
  </w:style>
  <w:style w:type="paragraph" w:customStyle="1" w:styleId="359">
    <w:name w:val="Nível 1-Sem Num Preto"/>
    <w:basedOn w:val="360"/>
    <w:qFormat/>
    <w:uiPriority w:val="0"/>
    <w:pPr>
      <w:keepNext/>
      <w:keepLines/>
      <w:tabs>
        <w:tab w:val="left" w:pos="567"/>
      </w:tabs>
      <w:suppressAutoHyphens w:val="0"/>
      <w:spacing w:before="240" w:after="120"/>
      <w:jc w:val="both"/>
      <w:outlineLvl w:val="1"/>
    </w:pPr>
    <w:rPr>
      <w:rFonts w:ascii="Arial" w:hAnsi="Arial" w:cs="Arial" w:eastAsiaTheme="majorEastAsia"/>
      <w:sz w:val="20"/>
      <w:szCs w:val="20"/>
      <w:lang w:eastAsia="zh-CN" w:bidi="hi-IN"/>
    </w:rPr>
  </w:style>
  <w:style w:type="paragraph" w:customStyle="1" w:styleId="360">
    <w:name w:val="Nível 1-Sem Num"/>
    <w:basedOn w:val="281"/>
    <w:autoRedefine/>
    <w:qFormat/>
    <w:uiPriority w:val="0"/>
    <w:pPr>
      <w:numPr>
        <w:numId w:val="0"/>
      </w:numPr>
      <w:spacing w:before="0" w:after="0" w:line="240" w:lineRule="auto"/>
      <w:outlineLvl w:val="1"/>
    </w:pPr>
    <w:rPr>
      <w:color w:val="000000" w:themeColor="text1"/>
      <w:sz w:val="24"/>
      <w:szCs w:val="24"/>
      <w14:textFill>
        <w14:solidFill>
          <w14:schemeClr w14:val="tx1"/>
        </w14:solidFill>
      </w14:textFill>
    </w:rPr>
  </w:style>
  <w:style w:type="paragraph" w:customStyle="1" w:styleId="361">
    <w:name w:val="Header"/>
    <w:basedOn w:val="1"/>
    <w:semiHidden/>
    <w:unhideWhenUsed/>
    <w:qFormat/>
    <w:uiPriority w:val="99"/>
    <w:pPr>
      <w:tabs>
        <w:tab w:val="center" w:pos="4252"/>
        <w:tab w:val="right" w:pos="8504"/>
      </w:tabs>
      <w:spacing w:after="0" w:line="240" w:lineRule="auto"/>
    </w:pPr>
  </w:style>
  <w:style w:type="paragraph" w:customStyle="1" w:styleId="362">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18696</Words>
  <Characters>100959</Characters>
  <Lines>841</Lines>
  <Paragraphs>238</Paragraphs>
  <TotalTime>7</TotalTime>
  <ScaleCrop>false</ScaleCrop>
  <LinksUpToDate>false</LinksUpToDate>
  <CharactersWithSpaces>119417</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2025-08-22T13:21:48Z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F4C35CC1A04545219E259D3DD0D81C3B_13</vt:lpwstr>
  </property>
</Properties>
</file>