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090/2025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12/2025 - Compras Governamentais </w:t>
            </w:r>
            <w:r>
              <w:rPr>
                <w:rFonts w:hint="default" w:ascii="Arial" w:hAnsi="Arial" w:cs="Arial"/>
                <w:color w:val="000000"/>
                <w:sz w:val="22"/>
                <w:szCs w:val="22"/>
                <w:highlight w:val="yellow"/>
                <w:lang w:val="pt-BR"/>
              </w:rPr>
              <w:t>90012</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26/06/2025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especializada em serviços de engenharia para execução do acesso ao campo de futebol no Bairro Taquara Preta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57.735,36</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4D8A0A98">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012/2025 (90012)</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090/2025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26/06/2025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090/2025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012/2025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execução do acesso ao campo de futebol no Bairro Taquara Preta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execução do acesso ao campo de futebol no Bairro Taquara Preta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9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dos espaços esportivos do município - Obras e instalações - ficha 752 - Recurso 1.500.000.0000.900 - Emenda impositiva</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w:t>
      </w:r>
      <w:r>
        <w:rPr>
          <w:rFonts w:hint="default" w:ascii="Arial" w:hAnsi="Arial" w:cs="Arial"/>
          <w:b/>
          <w:sz w:val="18"/>
          <w:szCs w:val="18"/>
          <w:u w:val="single"/>
          <w:lang w:val="pt-BR"/>
        </w:rPr>
        <w:t>A</w:t>
      </w:r>
      <w:r>
        <w:rPr>
          <w:rFonts w:hint="default" w:ascii="Arial" w:hAnsi="Arial" w:cs="Arial"/>
          <w:b/>
          <w:sz w:val="18"/>
          <w:szCs w:val="18"/>
          <w:u w:val="single"/>
        </w:rPr>
        <w:t xml:space="preserve"> participação é exclusiva a Microempresas e Empresas de Pequeno Porte ou equiparadas, nos termos do art. 48 da Lei Complementar nº 123, de 14 de dezembro de 2006.</w:t>
      </w:r>
    </w:p>
    <w:p w14:paraId="7776CA77">
      <w:pPr>
        <w:pStyle w:val="312"/>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2"/>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7CA11EA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2683CCB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423F974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7166410D">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4D39DC5B">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7"/>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Encerrada a fase de lances e concluída a negociação, o agente de contratação solicitará ao licitante mais bem classificado que, no prazo mínimo de 2 (duas) horas, definido conforme a complexidade do objeto licitado e a extensão da planilha, apresente a proposta comercial adequada ao último lance ofertado. A proposta deverá estar acompanhada, conforme o caso, da planilha de custos e formação de preços, cronograma físico-financeiro, composição do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7AEF2E65">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9969DF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6673DD43">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C549FF1">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043A8A03">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4EE93A1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sz w:val="18"/>
          <w:szCs w:val="18"/>
          <w:lang w:val="pt-BR"/>
        </w:rPr>
        <w:t>8.10.7.2.5</w:t>
      </w:r>
      <w:r>
        <w:rPr>
          <w:rFonts w:hint="default" w:ascii="Arial" w:hAnsi="Arial" w:cs="Arial"/>
          <w:b/>
          <w:bCs/>
          <w:color w:val="101010"/>
          <w:sz w:val="18"/>
          <w:szCs w:val="18"/>
          <w:u w:val="single"/>
          <w:lang w:val="pt-BR"/>
        </w:rPr>
        <w:t xml:space="preserve">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sz w:val="18"/>
          <w:szCs w:val="18"/>
          <w:lang w:val="pt-BR"/>
        </w:rPr>
        <w:t>8.10.7.2.5.1</w:t>
      </w:r>
      <w:r>
        <w:rPr>
          <w:rFonts w:hint="default" w:ascii="Arial" w:hAnsi="Arial" w:cs="Arial"/>
          <w:b/>
          <w:bCs/>
          <w:color w:val="auto"/>
          <w:sz w:val="18"/>
          <w:szCs w:val="18"/>
          <w:lang w:val="pt-BR"/>
        </w:rPr>
        <w:t xml:space="preserve">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sz w:val="18"/>
          <w:szCs w:val="18"/>
          <w:lang w:val="pt-BR"/>
        </w:rPr>
        <w:t>8.10.7.2.5.2</w:t>
      </w:r>
      <w:r>
        <w:rPr>
          <w:rFonts w:hint="default" w:ascii="Arial" w:hAnsi="Arial" w:eastAsia="helvetica" w:cs="Arial"/>
          <w:i w:val="0"/>
          <w:iCs w:val="0"/>
          <w:caps w:val="0"/>
          <w:color w:val="auto"/>
          <w:spacing w:val="0"/>
          <w:sz w:val="18"/>
          <w:szCs w:val="18"/>
          <w:shd w:val="clear" w:fill="FFFFFF"/>
          <w:lang w:val="pt-BR"/>
        </w:rPr>
        <w:t xml:space="preserve">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sz w:val="18"/>
          <w:szCs w:val="18"/>
          <w:lang w:val="pt-BR"/>
        </w:rPr>
        <w:t xml:space="preserve">8.10.7.2.5.3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568AC76F">
      <w:pPr>
        <w:pStyle w:val="306"/>
        <w:tabs>
          <w:tab w:val="left" w:pos="993"/>
        </w:tabs>
        <w:spacing w:before="0" w:after="0" w:line="360" w:lineRule="auto"/>
        <w:ind w:left="0"/>
        <w:rPr>
          <w:rFonts w:hint="default" w:ascii="Arial" w:hAnsi="Arial" w:cs="Arial"/>
          <w:sz w:val="18"/>
          <w:szCs w:val="18"/>
          <w:lang w:val="pt-BR"/>
        </w:rPr>
      </w:pP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9</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6D461ED9">
      <w:pPr>
        <w:pStyle w:val="221"/>
        <w:ind w:left="0"/>
        <w:jc w:val="both"/>
        <w:rPr>
          <w:rFonts w:hint="default" w:ascii="Arial" w:hAnsi="Arial" w:eastAsia="Arial" w:cs="Arial"/>
          <w:b/>
          <w:sz w:val="18"/>
          <w:szCs w:val="18"/>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2" w:name="_Ref114663151"/>
      <w:bookmarkEnd w:id="22"/>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2"/>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2"/>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32304DCE">
      <w:pPr>
        <w:autoSpaceDE w:val="0"/>
        <w:autoSpaceDN w:val="0"/>
        <w:adjustRightInd w:val="0"/>
        <w:spacing w:line="360" w:lineRule="auto"/>
        <w:jc w:val="both"/>
        <w:rPr>
          <w:rFonts w:hint="default" w:ascii="Arial" w:hAnsi="Arial" w:cs="Arial"/>
          <w:b/>
          <w:bCs/>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 xml:space="preserve"> 127.573,84 (cento e vinte e sete mil, quinhentos e setenta e três reais e oitenta e quatro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7" w:name="_Ref114668085"/>
      <w:bookmarkStart w:id="28" w:name="_Hlk11465259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viii"/>
      <w:bookmarkEnd w:id="29"/>
      <w:bookmarkStart w:id="30" w:name="art155ii"/>
      <w:bookmarkEnd w:id="30"/>
      <w:bookmarkStart w:id="31" w:name="art155vi"/>
      <w:bookmarkEnd w:id="31"/>
      <w:bookmarkStart w:id="32" w:name="art155v"/>
      <w:bookmarkEnd w:id="32"/>
      <w:bookmarkStart w:id="33" w:name="art155iv"/>
      <w:bookmarkEnd w:id="33"/>
      <w:bookmarkStart w:id="34" w:name="art155ix"/>
      <w:bookmarkEnd w:id="34"/>
      <w:bookmarkStart w:id="35" w:name="art155iii"/>
      <w:bookmarkEnd w:id="35"/>
      <w:bookmarkStart w:id="36" w:name="art155x"/>
      <w:bookmarkEnd w:id="36"/>
      <w:bookmarkStart w:id="37" w:name="art155vii"/>
      <w:bookmarkEnd w:id="37"/>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8" w:name="art156§6"/>
      <w:bookmarkEnd w:id="38"/>
      <w:bookmarkStart w:id="39" w:name="art156§5"/>
      <w:bookmarkEnd w:id="39"/>
      <w:bookmarkStart w:id="40" w:name="art156§6ii"/>
      <w:bookmarkEnd w:id="40"/>
      <w:bookmarkStart w:id="41" w:name="art156§7"/>
      <w:bookmarkEnd w:id="41"/>
      <w:bookmarkStart w:id="42" w:name="art156§3"/>
      <w:bookmarkEnd w:id="42"/>
      <w:bookmarkStart w:id="43" w:name="art156§4"/>
      <w:bookmarkEnd w:id="43"/>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5"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5"/>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6"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6"/>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7"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7"/>
      <w:bookmarkStart w:id="48"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8"/>
      <w:bookmarkStart w:id="49"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9"/>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50"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50"/>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1"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1"/>
    </w:p>
    <w:p w14:paraId="2C7C3240">
      <w:pPr>
        <w:pStyle w:val="305"/>
        <w:spacing w:before="0" w:after="0" w:line="240" w:lineRule="auto"/>
        <w:rPr>
          <w:rFonts w:hint="default" w:ascii="Arial" w:hAnsi="Arial" w:cs="Arial"/>
          <w:color w:val="auto"/>
          <w:sz w:val="18"/>
          <w:szCs w:val="18"/>
        </w:rPr>
      </w:pPr>
    </w:p>
    <w:p w14:paraId="5759ADF0">
      <w:pPr>
        <w:pStyle w:val="305"/>
        <w:spacing w:before="0" w:after="0" w:line="240" w:lineRule="auto"/>
        <w:rPr>
          <w:rFonts w:hint="default" w:ascii="Arial" w:hAnsi="Arial" w:cs="Arial"/>
          <w:color w:val="auto"/>
          <w:sz w:val="18"/>
          <w:szCs w:val="18"/>
        </w:rPr>
      </w:pPr>
    </w:p>
    <w:p w14:paraId="7B10510F">
      <w:pPr>
        <w:pStyle w:val="305"/>
        <w:spacing w:before="0" w:after="0" w:line="240" w:lineRule="auto"/>
        <w:rPr>
          <w:rFonts w:hint="default" w:ascii="Arial" w:hAnsi="Arial" w:cs="Arial"/>
          <w:color w:val="auto"/>
          <w:sz w:val="18"/>
          <w:szCs w:val="18"/>
        </w:rPr>
      </w:pPr>
    </w:p>
    <w:p w14:paraId="0526C534">
      <w:pPr>
        <w:pStyle w:val="305"/>
        <w:spacing w:before="0" w:after="0" w:line="240" w:lineRule="auto"/>
        <w:rPr>
          <w:rFonts w:hint="default" w:ascii="Arial" w:hAnsi="Arial" w:cs="Arial"/>
          <w:color w:val="auto"/>
          <w:sz w:val="18"/>
          <w:szCs w:val="18"/>
        </w:rPr>
      </w:pPr>
    </w:p>
    <w:p w14:paraId="694B4181">
      <w:pPr>
        <w:pStyle w:val="305"/>
        <w:spacing w:before="0" w:after="0" w:line="240" w:lineRule="auto"/>
        <w:rPr>
          <w:rFonts w:hint="default" w:ascii="Arial" w:hAnsi="Arial" w:cs="Arial"/>
          <w:color w:val="auto"/>
          <w:sz w:val="18"/>
          <w:szCs w:val="18"/>
        </w:rPr>
      </w:pPr>
    </w:p>
    <w:p w14:paraId="6F0D5830">
      <w:pPr>
        <w:pStyle w:val="305"/>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w:t>
      </w:r>
      <w:r>
        <w:rPr>
          <w:rFonts w:hint="default" w:ascii="Arial" w:hAnsi="Arial" w:cs="Arial"/>
          <w:sz w:val="18"/>
          <w:szCs w:val="18"/>
          <w:u w:val="none"/>
        </w:rPr>
        <w:t>ês) dias úteis antes da data da abertura do certame</w:t>
      </w:r>
      <w:r>
        <w:rPr>
          <w:rFonts w:hint="default" w:cs="Arial"/>
          <w:sz w:val="18"/>
          <w:szCs w:val="18"/>
          <w:u w:val="none"/>
          <w:lang w:val="pt-BR"/>
        </w:rPr>
        <w:t>, sendo o último dia para recebimento da impugnação o dia</w:t>
      </w:r>
      <w:r>
        <w:rPr>
          <w:rFonts w:hint="default" w:cs="Arial"/>
          <w:sz w:val="18"/>
          <w:szCs w:val="18"/>
          <w:lang w:val="pt-BR"/>
        </w:rPr>
        <w:t xml:space="preserve"> </w:t>
      </w:r>
      <w:r>
        <w:rPr>
          <w:rFonts w:hint="default" w:cs="Arial"/>
          <w:sz w:val="18"/>
          <w:szCs w:val="18"/>
          <w:u w:val="single"/>
          <w:lang w:val="pt-BR"/>
        </w:rPr>
        <w:t>23 de junho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2"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2"/>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240" w:lineRule="auto"/>
        <w:ind w:left="0"/>
        <w:rPr>
          <w:rFonts w:hint="default" w:ascii="Arial" w:hAnsi="Arial" w:cs="Arial"/>
          <w:sz w:val="18"/>
          <w:szCs w:val="18"/>
        </w:rPr>
      </w:pPr>
      <w:bookmarkStart w:id="53" w:name="_Hlk158877578"/>
      <w:r>
        <w:rPr>
          <w:rFonts w:hint="default" w:ascii="Arial" w:hAnsi="Arial" w:cs="Arial"/>
          <w:sz w:val="18"/>
          <w:szCs w:val="18"/>
        </w:rPr>
        <w:t>Anexo I - Modelo de proposta de preços;</w:t>
      </w:r>
    </w:p>
    <w:p w14:paraId="58F57DDC">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7451B04A">
      <w:pPr>
        <w:pStyle w:val="306"/>
        <w:spacing w:before="0" w:after="0" w:line="24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3"/>
    <w:p w14:paraId="62667A07">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24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05</w:t>
      </w:r>
      <w:bookmarkStart w:id="57" w:name="_GoBack"/>
      <w:bookmarkEnd w:id="57"/>
      <w:r>
        <w:rPr>
          <w:rFonts w:hint="default" w:ascii="Arial" w:hAnsi="Arial" w:cs="Arial"/>
          <w:sz w:val="18"/>
          <w:szCs w:val="18"/>
          <w:lang w:val="pt-BR"/>
        </w:rPr>
        <w:t xml:space="preserve"> de junho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567"/>
        <w:jc w:val="center"/>
        <w:rPr>
          <w:rFonts w:hint="default" w:ascii="Arial" w:hAnsi="Arial" w:cs="Arial"/>
          <w:b/>
          <w:bCs/>
          <w:sz w:val="18"/>
          <w:szCs w:val="18"/>
        </w:rPr>
      </w:pPr>
      <w:r>
        <w:rPr>
          <w:rFonts w:hint="default" w:ascii="Arial" w:hAnsi="Arial" w:cs="Arial"/>
          <w:b/>
          <w:bCs/>
          <w:sz w:val="18"/>
          <w:szCs w:val="18"/>
        </w:rPr>
        <w:t>José Henriques</w:t>
      </w:r>
    </w:p>
    <w:p w14:paraId="64F04C68">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02AB2457">
      <w:pPr>
        <w:jc w:val="center"/>
        <w:rPr>
          <w:rFonts w:ascii="Arial" w:hAnsi="Arial" w:cs="Arial"/>
          <w:b/>
          <w:bCs/>
          <w:color w:val="auto"/>
          <w:sz w:val="32"/>
          <w:szCs w:val="32"/>
        </w:rPr>
      </w:pPr>
    </w:p>
    <w:p w14:paraId="63D3C541">
      <w:pPr>
        <w:jc w:val="center"/>
        <w:rPr>
          <w:rFonts w:ascii="Arial" w:hAnsi="Arial" w:cs="Arial"/>
          <w:b/>
          <w:bCs/>
          <w:color w:val="auto"/>
          <w:sz w:val="32"/>
          <w:szCs w:val="32"/>
        </w:rPr>
      </w:pPr>
    </w:p>
    <w:p w14:paraId="3E88C86B">
      <w:pPr>
        <w:jc w:val="center"/>
        <w:rPr>
          <w:rFonts w:ascii="Arial" w:hAnsi="Arial" w:cs="Arial"/>
          <w:b/>
          <w:bCs/>
          <w:color w:val="auto"/>
          <w:sz w:val="32"/>
          <w:szCs w:val="32"/>
        </w:rPr>
      </w:pPr>
    </w:p>
    <w:p w14:paraId="7D0E044D">
      <w:pPr>
        <w:jc w:val="center"/>
        <w:rPr>
          <w:rFonts w:ascii="Arial" w:hAnsi="Arial" w:cs="Arial"/>
          <w:b/>
          <w:bCs/>
          <w:color w:val="auto"/>
          <w:sz w:val="32"/>
          <w:szCs w:val="32"/>
        </w:rPr>
      </w:pPr>
    </w:p>
    <w:p w14:paraId="31E4B667">
      <w:pPr>
        <w:jc w:val="center"/>
        <w:rPr>
          <w:rFonts w:ascii="Arial" w:hAnsi="Arial" w:cs="Arial"/>
          <w:b/>
          <w:bCs/>
          <w:color w:val="auto"/>
          <w:sz w:val="32"/>
          <w:szCs w:val="32"/>
        </w:rPr>
      </w:pPr>
    </w:p>
    <w:p w14:paraId="5F9FA133">
      <w:pPr>
        <w:jc w:val="center"/>
        <w:rPr>
          <w:rFonts w:ascii="Arial" w:hAnsi="Arial" w:cs="Arial"/>
          <w:b/>
          <w:bCs/>
          <w:color w:val="auto"/>
          <w:sz w:val="32"/>
          <w:szCs w:val="32"/>
        </w:rPr>
      </w:pPr>
    </w:p>
    <w:p w14:paraId="3FC56610">
      <w:pPr>
        <w:jc w:val="center"/>
        <w:rPr>
          <w:rFonts w:ascii="Arial" w:hAnsi="Arial" w:cs="Arial"/>
          <w:b/>
          <w:bCs/>
          <w:color w:val="auto"/>
          <w:sz w:val="32"/>
          <w:szCs w:val="32"/>
        </w:rPr>
      </w:pPr>
    </w:p>
    <w:p w14:paraId="569D6288">
      <w:pPr>
        <w:jc w:val="center"/>
        <w:rPr>
          <w:rFonts w:ascii="Arial" w:hAnsi="Arial" w:cs="Arial"/>
          <w:b/>
          <w:bCs/>
          <w:color w:val="auto"/>
          <w:sz w:val="32"/>
          <w:szCs w:val="32"/>
        </w:rPr>
      </w:pPr>
    </w:p>
    <w:p w14:paraId="41D8DF62">
      <w:pPr>
        <w:jc w:val="center"/>
        <w:rPr>
          <w:rFonts w:ascii="Arial" w:hAnsi="Arial" w:cs="Arial"/>
          <w:b/>
          <w:bCs/>
          <w:color w:val="auto"/>
          <w:sz w:val="32"/>
          <w:szCs w:val="32"/>
        </w:rPr>
      </w:pPr>
    </w:p>
    <w:p w14:paraId="72DDCDC8">
      <w:pPr>
        <w:jc w:val="center"/>
        <w:rPr>
          <w:rFonts w:ascii="Arial" w:hAnsi="Arial" w:cs="Arial"/>
          <w:b/>
          <w:bCs/>
          <w:color w:val="auto"/>
          <w:sz w:val="32"/>
          <w:szCs w:val="32"/>
        </w:rPr>
      </w:pPr>
    </w:p>
    <w:p w14:paraId="1DB70F80">
      <w:pPr>
        <w:jc w:val="center"/>
        <w:rPr>
          <w:rFonts w:ascii="Arial" w:hAnsi="Arial" w:cs="Arial"/>
          <w:b/>
          <w:bCs/>
          <w:color w:val="auto"/>
          <w:sz w:val="32"/>
          <w:szCs w:val="32"/>
        </w:rPr>
      </w:pPr>
    </w:p>
    <w:p w14:paraId="636707D4">
      <w:pPr>
        <w:jc w:val="center"/>
        <w:rPr>
          <w:rFonts w:ascii="Arial" w:hAnsi="Arial" w:cs="Arial"/>
          <w:b/>
          <w:bCs/>
          <w:color w:val="auto"/>
          <w:sz w:val="32"/>
          <w:szCs w:val="32"/>
        </w:rPr>
      </w:pPr>
    </w:p>
    <w:p w14:paraId="56801006">
      <w:pPr>
        <w:jc w:val="center"/>
        <w:rPr>
          <w:rFonts w:ascii="Arial" w:hAnsi="Arial" w:cs="Arial"/>
          <w:b/>
          <w:bCs/>
          <w:color w:val="auto"/>
          <w:sz w:val="32"/>
          <w:szCs w:val="32"/>
        </w:rPr>
      </w:pPr>
    </w:p>
    <w:p w14:paraId="7AD3A23A">
      <w:pPr>
        <w:jc w:val="center"/>
        <w:rPr>
          <w:rFonts w:ascii="Arial" w:hAnsi="Arial" w:cs="Arial"/>
          <w:b/>
          <w:bCs/>
          <w:color w:val="auto"/>
          <w:sz w:val="32"/>
          <w:szCs w:val="32"/>
        </w:rPr>
      </w:pPr>
    </w:p>
    <w:p w14:paraId="0D3D95AC">
      <w:pPr>
        <w:jc w:val="center"/>
        <w:rPr>
          <w:rFonts w:ascii="Arial" w:hAnsi="Arial" w:cs="Arial"/>
          <w:b/>
          <w:bCs/>
          <w:color w:val="auto"/>
          <w:sz w:val="32"/>
          <w:szCs w:val="32"/>
        </w:rPr>
      </w:pPr>
    </w:p>
    <w:p w14:paraId="33A57EAD">
      <w:pPr>
        <w:jc w:val="center"/>
        <w:rPr>
          <w:rFonts w:ascii="Arial" w:hAnsi="Arial" w:cs="Arial"/>
          <w:b/>
          <w:bCs/>
          <w:color w:val="auto"/>
          <w:sz w:val="32"/>
          <w:szCs w:val="32"/>
        </w:rPr>
      </w:pPr>
    </w:p>
    <w:p w14:paraId="5342AB1F">
      <w:pPr>
        <w:jc w:val="center"/>
        <w:rPr>
          <w:rFonts w:ascii="Arial" w:hAnsi="Arial" w:cs="Arial"/>
          <w:b/>
          <w:bCs/>
          <w:color w:val="auto"/>
          <w:sz w:val="32"/>
          <w:szCs w:val="32"/>
        </w:rPr>
      </w:pPr>
    </w:p>
    <w:p w14:paraId="3AB67E33">
      <w:pPr>
        <w:jc w:val="center"/>
        <w:rPr>
          <w:rFonts w:ascii="Arial" w:hAnsi="Arial" w:cs="Arial"/>
          <w:b/>
          <w:bCs/>
          <w:color w:val="auto"/>
          <w:sz w:val="32"/>
          <w:szCs w:val="32"/>
        </w:rPr>
      </w:pPr>
    </w:p>
    <w:p w14:paraId="59C31D4D">
      <w:pPr>
        <w:jc w:val="center"/>
        <w:rPr>
          <w:rFonts w:ascii="Arial" w:hAnsi="Arial" w:cs="Arial"/>
          <w:b/>
          <w:bCs/>
          <w:color w:val="auto"/>
          <w:sz w:val="32"/>
          <w:szCs w:val="32"/>
        </w:rPr>
      </w:pPr>
    </w:p>
    <w:p w14:paraId="5749534E">
      <w:pPr>
        <w:jc w:val="center"/>
        <w:rPr>
          <w:rFonts w:ascii="Arial" w:hAnsi="Arial" w:cs="Arial"/>
          <w:b/>
          <w:bCs/>
          <w:color w:val="auto"/>
          <w:sz w:val="32"/>
          <w:szCs w:val="32"/>
        </w:rPr>
      </w:pPr>
    </w:p>
    <w:p w14:paraId="4A0B48F4">
      <w:pPr>
        <w:jc w:val="center"/>
        <w:rPr>
          <w:rFonts w:ascii="Arial" w:hAnsi="Arial" w:cs="Arial"/>
          <w:b/>
          <w:bCs/>
          <w:color w:val="auto"/>
          <w:sz w:val="32"/>
          <w:szCs w:val="32"/>
        </w:rPr>
      </w:pPr>
    </w:p>
    <w:p w14:paraId="0849BE71">
      <w:pPr>
        <w:jc w:val="center"/>
        <w:rPr>
          <w:rFonts w:ascii="Arial" w:hAnsi="Arial" w:cs="Arial"/>
          <w:b/>
          <w:bCs/>
          <w:color w:val="auto"/>
          <w:sz w:val="32"/>
          <w:szCs w:val="32"/>
        </w:rPr>
      </w:pPr>
    </w:p>
    <w:p w14:paraId="6591B392">
      <w:pPr>
        <w:jc w:val="center"/>
        <w:rPr>
          <w:rFonts w:ascii="Arial" w:hAnsi="Arial" w:cs="Arial"/>
          <w:b/>
          <w:bCs/>
          <w:color w:val="auto"/>
          <w:sz w:val="32"/>
          <w:szCs w:val="32"/>
        </w:rPr>
      </w:pPr>
    </w:p>
    <w:p w14:paraId="1794CF12">
      <w:pPr>
        <w:jc w:val="center"/>
        <w:rPr>
          <w:rFonts w:ascii="Arial" w:hAnsi="Arial" w:cs="Arial"/>
          <w:b/>
          <w:bCs/>
          <w:color w:val="auto"/>
          <w:sz w:val="32"/>
          <w:szCs w:val="32"/>
        </w:rPr>
      </w:pPr>
    </w:p>
    <w:p w14:paraId="0BEC0069">
      <w:pPr>
        <w:jc w:val="center"/>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012/2025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26 de junho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w:t>
      </w:r>
      <w:r>
        <w:rPr>
          <w:rFonts w:hint="default" w:ascii="Arial" w:hAnsi="Arial" w:cs="Arial"/>
          <w:color w:val="000000"/>
          <w:sz w:val="20"/>
          <w:szCs w:val="20"/>
          <w:lang w:val="pt-BR"/>
        </w:rPr>
        <w:t>serviços de engenharia para execução do acesso ao campo de futebol no Bairro Taquara Preta do município de Cataguases-MG.</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5"/>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5"/>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5"/>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4CC31663">
      <w:pPr>
        <w:jc w:val="both"/>
        <w:rPr>
          <w:rFonts w:ascii="Arial" w:hAnsi="Arial" w:cs="Arial"/>
          <w:b/>
          <w:bCs/>
          <w:sz w:val="32"/>
          <w:szCs w:val="32"/>
        </w:rPr>
      </w:pPr>
    </w:p>
    <w:p w14:paraId="73BFE199">
      <w:pPr>
        <w:jc w:val="both"/>
        <w:rPr>
          <w:rFonts w:ascii="Arial" w:hAnsi="Arial" w:cs="Arial"/>
          <w:b/>
          <w:bCs/>
          <w:sz w:val="32"/>
          <w:szCs w:val="32"/>
        </w:rPr>
      </w:pPr>
    </w:p>
    <w:p w14:paraId="7A25AD11">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090/2025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012/2025</w:t>
      </w:r>
    </w:p>
    <w:p w14:paraId="327279A7">
      <w:pPr>
        <w:jc w:val="both"/>
        <w:rPr>
          <w:rFonts w:hint="default" w:ascii="Arial" w:hAnsi="Arial" w:cs="Arial"/>
          <w:b/>
          <w:bCs/>
          <w:color w:val="auto"/>
          <w:sz w:val="18"/>
          <w:szCs w:val="18"/>
        </w:rPr>
      </w:pPr>
    </w:p>
    <w:p w14:paraId="58BC5339">
      <w:pPr>
        <w:jc w:val="both"/>
        <w:rPr>
          <w:rFonts w:hint="default" w:ascii="Arial" w:hAnsi="Arial" w:cs="Arial"/>
          <w:b/>
          <w:bCs w:val="0"/>
          <w:color w:val="000000"/>
          <w:sz w:val="18"/>
          <w:szCs w:val="18"/>
          <w:lang w:val="pt-BR"/>
        </w:rPr>
      </w:pPr>
      <w:r>
        <w:rPr>
          <w:rFonts w:hint="default" w:ascii="Arial" w:hAnsi="Arial" w:cs="Arial"/>
          <w:b/>
          <w:sz w:val="18"/>
          <w:szCs w:val="18"/>
          <w:highlight w:val="none"/>
        </w:rPr>
        <w:t>CONTRATO QUE ENTRE SI CE</w:t>
      </w:r>
      <w:r>
        <w:rPr>
          <w:rFonts w:hint="default" w:ascii="Arial" w:hAnsi="Arial" w:cs="Arial"/>
          <w:b/>
          <w:bCs w:val="0"/>
          <w:sz w:val="18"/>
          <w:szCs w:val="18"/>
          <w:highlight w:val="none"/>
        </w:rPr>
        <w:t xml:space="preserve">LEBRAM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SERVIÇOS DE ENGENHARIA PARA EXECUÇÃO DO ACESSO AO CAMPO DE FUTEBOL NO BAIRRO TAQUARA PRETA DO MUNICÍPIO DE CATAGUASES-MG.</w:t>
      </w:r>
    </w:p>
    <w:p w14:paraId="4EBFBD6C">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090/2025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012/2025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color w:val="000000"/>
          <w:sz w:val="18"/>
          <w:szCs w:val="18"/>
          <w:lang w:val="pt-BR"/>
        </w:rPr>
        <w:t>serviços de engenharia para execução do acesso ao campo de futebol no Bairro Taquara Preta do município de Cataguases-MG.</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090/2025</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04 (quatro)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03 (três)</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7"/>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7"/>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7"/>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7"/>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4" w:name="_Hlk114499841"/>
      <w:bookmarkEnd w:id="54"/>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200/2025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 Janeiro de 2025 e SINAPI MG Março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5" w:name="_Hlk114504069"/>
      <w:r>
        <w:rPr>
          <w:rStyle w:val="12"/>
          <w:rFonts w:hint="default" w:ascii="Arial" w:hAnsi="Arial" w:eastAsia="Arial" w:cs="Arial"/>
          <w:sz w:val="18"/>
          <w:szCs w:val="18"/>
        </w:rPr>
        <w:t>Lei nº 14.133, de 2021</w:t>
      </w:r>
      <w:bookmarkEnd w:id="55"/>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20"/>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20"/>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20"/>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20"/>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20"/>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6" w:name="_Hlk78351618"/>
      <w:bookmarkEnd w:id="56"/>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2"/>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2"/>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313527C3">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dos espaços esportivos do município - Obras e instalações - ficha 752 - Recurso 1.500.000.0000.900 - Emenda impositiva</w:t>
      </w:r>
    </w:p>
    <w:p w14:paraId="613DFCCF">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4"/>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2E4C1D83">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25A8FFD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5B2C9C0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08EA68CE">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31F6B55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3705526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35C8572B">
      <w:pPr>
        <w:jc w:val="center"/>
        <w:rPr>
          <w:rFonts w:hint="default" w:ascii="Arial" w:hAnsi="Arial" w:cs="Arial"/>
          <w:b/>
          <w:bCs/>
          <w:color w:val="auto"/>
          <w:sz w:val="20"/>
          <w:szCs w:val="20"/>
          <w:lang w:val="pt-BR"/>
        </w:rPr>
      </w:pPr>
    </w:p>
    <w:p w14:paraId="2F7151DD">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4F41883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0BA9B84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683EC679">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53FC4A07">
      <w:pPr>
        <w:jc w:val="both"/>
        <w:rPr>
          <w:rFonts w:ascii="Arial" w:hAnsi="Arial" w:cs="Arial" w:eastAsiaTheme="minorHAnsi"/>
          <w:sz w:val="20"/>
          <w:szCs w:val="20"/>
        </w:rPr>
      </w:pPr>
    </w:p>
    <w:p w14:paraId="2308E7EF">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78BE485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15872D5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032A3C51">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5C89750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279A104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3AF664A1">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627787F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4754074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27F2929F">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30D2C30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20F08E2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795FC44B">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778ACDC">
      <w:pPr>
        <w:jc w:val="center"/>
        <w:rPr>
          <w:rFonts w:hint="default" w:ascii="Arial" w:hAnsi="Arial" w:cs="Arial"/>
          <w:b/>
          <w:bCs/>
          <w:sz w:val="26"/>
          <w:szCs w:val="26"/>
          <w:lang w:val="pt-BR"/>
        </w:rPr>
      </w:pPr>
    </w:p>
    <w:p w14:paraId="335BAF7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090/2025</w:t>
      </w:r>
    </w:p>
    <w:p w14:paraId="038EDE9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012/2025</w:t>
      </w:r>
    </w:p>
    <w:p w14:paraId="461BFB06">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090/2025</w:t>
      </w:r>
      <w:r>
        <w:rPr>
          <w:rFonts w:hint="default" w:ascii="Arial" w:hAnsi="Arial" w:cs="Arial"/>
          <w:sz w:val="20"/>
          <w:szCs w:val="20"/>
        </w:rPr>
        <w:t>, Concorrência Pública n°</w:t>
      </w:r>
      <w:r>
        <w:rPr>
          <w:rFonts w:hint="default" w:ascii="Arial" w:hAnsi="Arial" w:cs="Arial"/>
          <w:sz w:val="20"/>
          <w:szCs w:val="20"/>
          <w:lang w:val="pt-BR"/>
        </w:rPr>
        <w:t xml:space="preserve"> 012/2025 </w:t>
      </w:r>
      <w:r>
        <w:rPr>
          <w:rFonts w:hint="default" w:ascii="Arial" w:hAnsi="Arial" w:cs="Arial"/>
          <w:sz w:val="20"/>
          <w:szCs w:val="20"/>
        </w:rPr>
        <w:t>que:</w:t>
      </w:r>
    </w:p>
    <w:p w14:paraId="6D11FBCC">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090/2025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5">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9"/>
  </w:num>
  <w:num w:numId="2">
    <w:abstractNumId w:val="18"/>
  </w:num>
  <w:num w:numId="3">
    <w:abstractNumId w:val="5"/>
  </w:num>
  <w:num w:numId="4">
    <w:abstractNumId w:val="20"/>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2"/>
  </w:num>
  <w:num w:numId="10">
    <w:abstractNumId w:val="19"/>
  </w:num>
  <w:num w:numId="11">
    <w:abstractNumId w:val="8"/>
  </w:num>
  <w:num w:numId="12">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num>
  <w:num w:numId="15">
    <w:abstractNumId w:val="6"/>
  </w:num>
  <w:num w:numId="16">
    <w:abstractNumId w:val="17"/>
  </w:num>
  <w:num w:numId="17">
    <w:abstractNumId w:val="0"/>
  </w:num>
  <w:num w:numId="18">
    <w:abstractNumId w:val="15"/>
  </w:num>
  <w:num w:numId="19">
    <w:abstractNumId w:val="21"/>
  </w:num>
  <w:num w:numId="20">
    <w:abstractNumId w:val="10"/>
  </w:num>
  <w:num w:numId="21">
    <w:abstractNumId w:val="2"/>
  </w:num>
  <w:num w:numId="22">
    <w:abstractNumId w:val="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395B91"/>
    <w:rsid w:val="01FF6D17"/>
    <w:rsid w:val="025E6589"/>
    <w:rsid w:val="02D149AD"/>
    <w:rsid w:val="03E35AEF"/>
    <w:rsid w:val="04521626"/>
    <w:rsid w:val="048B2A85"/>
    <w:rsid w:val="05197D6A"/>
    <w:rsid w:val="052109D9"/>
    <w:rsid w:val="05F0454A"/>
    <w:rsid w:val="06A40338"/>
    <w:rsid w:val="071B739D"/>
    <w:rsid w:val="074B6D85"/>
    <w:rsid w:val="075D699D"/>
    <w:rsid w:val="0A1A36A0"/>
    <w:rsid w:val="0BEC6E1F"/>
    <w:rsid w:val="0C0E6A1A"/>
    <w:rsid w:val="0C203DAD"/>
    <w:rsid w:val="0C2D57D1"/>
    <w:rsid w:val="0C9B62D5"/>
    <w:rsid w:val="0CCA5BBD"/>
    <w:rsid w:val="0D084D71"/>
    <w:rsid w:val="0F085E08"/>
    <w:rsid w:val="106C3100"/>
    <w:rsid w:val="10E21881"/>
    <w:rsid w:val="10E32514"/>
    <w:rsid w:val="116D0724"/>
    <w:rsid w:val="11CF2D47"/>
    <w:rsid w:val="11F10A65"/>
    <w:rsid w:val="121455AF"/>
    <w:rsid w:val="135426A3"/>
    <w:rsid w:val="13E05FAA"/>
    <w:rsid w:val="142957EC"/>
    <w:rsid w:val="147E4D12"/>
    <w:rsid w:val="165D633E"/>
    <w:rsid w:val="169A7F07"/>
    <w:rsid w:val="16E24019"/>
    <w:rsid w:val="17AF5CEB"/>
    <w:rsid w:val="17B752F6"/>
    <w:rsid w:val="19100DAA"/>
    <w:rsid w:val="1A7651FA"/>
    <w:rsid w:val="1ABE37D8"/>
    <w:rsid w:val="1AD31D10"/>
    <w:rsid w:val="1B0659E2"/>
    <w:rsid w:val="1B65127F"/>
    <w:rsid w:val="1BE03147"/>
    <w:rsid w:val="1BE30671"/>
    <w:rsid w:val="1C986C96"/>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CC5DF6"/>
    <w:rsid w:val="30704386"/>
    <w:rsid w:val="325A5AA7"/>
    <w:rsid w:val="32854BC9"/>
    <w:rsid w:val="32940808"/>
    <w:rsid w:val="33666E12"/>
    <w:rsid w:val="33C66AF6"/>
    <w:rsid w:val="34052E4D"/>
    <w:rsid w:val="3427319D"/>
    <w:rsid w:val="34750D1D"/>
    <w:rsid w:val="35904CED"/>
    <w:rsid w:val="35EE5AE6"/>
    <w:rsid w:val="36153AC8"/>
    <w:rsid w:val="36E91DC4"/>
    <w:rsid w:val="36FF0C93"/>
    <w:rsid w:val="377C1015"/>
    <w:rsid w:val="38376F0C"/>
    <w:rsid w:val="3876120E"/>
    <w:rsid w:val="38932BBD"/>
    <w:rsid w:val="394B7F8C"/>
    <w:rsid w:val="398273A0"/>
    <w:rsid w:val="3A782F7C"/>
    <w:rsid w:val="3AE54320"/>
    <w:rsid w:val="3B0C59EE"/>
    <w:rsid w:val="3B67381A"/>
    <w:rsid w:val="3BE61375"/>
    <w:rsid w:val="3C885550"/>
    <w:rsid w:val="3CA67D0E"/>
    <w:rsid w:val="3D183A50"/>
    <w:rsid w:val="3DC36E61"/>
    <w:rsid w:val="3E5809D9"/>
    <w:rsid w:val="3EB475C0"/>
    <w:rsid w:val="3F075458"/>
    <w:rsid w:val="3FD91DCF"/>
    <w:rsid w:val="4060552B"/>
    <w:rsid w:val="40915CFA"/>
    <w:rsid w:val="415A53AA"/>
    <w:rsid w:val="417501F3"/>
    <w:rsid w:val="42197C6B"/>
    <w:rsid w:val="434A3CF5"/>
    <w:rsid w:val="43895D46"/>
    <w:rsid w:val="43985420"/>
    <w:rsid w:val="4409502C"/>
    <w:rsid w:val="44D46DC0"/>
    <w:rsid w:val="46681314"/>
    <w:rsid w:val="46B76E83"/>
    <w:rsid w:val="46BE0D9D"/>
    <w:rsid w:val="470518CB"/>
    <w:rsid w:val="477A4167"/>
    <w:rsid w:val="481B6ADB"/>
    <w:rsid w:val="48344C94"/>
    <w:rsid w:val="48E15443"/>
    <w:rsid w:val="48F30D3D"/>
    <w:rsid w:val="49AC016B"/>
    <w:rsid w:val="4A0E407F"/>
    <w:rsid w:val="4AF906BF"/>
    <w:rsid w:val="4B7919E0"/>
    <w:rsid w:val="4B821692"/>
    <w:rsid w:val="4CC86819"/>
    <w:rsid w:val="4CF05145"/>
    <w:rsid w:val="4D5756EE"/>
    <w:rsid w:val="4E98737F"/>
    <w:rsid w:val="4F051F32"/>
    <w:rsid w:val="4F7D4FF7"/>
    <w:rsid w:val="4F9E0E2B"/>
    <w:rsid w:val="4FDA3AB0"/>
    <w:rsid w:val="4FF91545"/>
    <w:rsid w:val="4FFC24CA"/>
    <w:rsid w:val="505E3468"/>
    <w:rsid w:val="50CF01D2"/>
    <w:rsid w:val="51452242"/>
    <w:rsid w:val="51453A91"/>
    <w:rsid w:val="519C08F1"/>
    <w:rsid w:val="51AA7C07"/>
    <w:rsid w:val="51CF3978"/>
    <w:rsid w:val="520475C4"/>
    <w:rsid w:val="52465311"/>
    <w:rsid w:val="52597DAA"/>
    <w:rsid w:val="52C36155"/>
    <w:rsid w:val="532B3B01"/>
    <w:rsid w:val="54061467"/>
    <w:rsid w:val="54271F79"/>
    <w:rsid w:val="55230341"/>
    <w:rsid w:val="554D2BAE"/>
    <w:rsid w:val="55723134"/>
    <w:rsid w:val="55762246"/>
    <w:rsid w:val="57305275"/>
    <w:rsid w:val="58614E3B"/>
    <w:rsid w:val="59194FF3"/>
    <w:rsid w:val="594C2058"/>
    <w:rsid w:val="59B05DB3"/>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6B1562"/>
    <w:rsid w:val="61AE2409"/>
    <w:rsid w:val="61ED0836"/>
    <w:rsid w:val="6212532B"/>
    <w:rsid w:val="623B41B9"/>
    <w:rsid w:val="625472E1"/>
    <w:rsid w:val="63F5795B"/>
    <w:rsid w:val="648D429C"/>
    <w:rsid w:val="64AE039F"/>
    <w:rsid w:val="6A902988"/>
    <w:rsid w:val="6B601138"/>
    <w:rsid w:val="6B9E1E8B"/>
    <w:rsid w:val="6BE66E12"/>
    <w:rsid w:val="6C4F6C96"/>
    <w:rsid w:val="6CE6664B"/>
    <w:rsid w:val="6D473557"/>
    <w:rsid w:val="6DD714D9"/>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AD37490"/>
    <w:rsid w:val="7B7A61F8"/>
    <w:rsid w:val="7B8F5645"/>
    <w:rsid w:val="7B9C60C3"/>
    <w:rsid w:val="7C0C0492"/>
    <w:rsid w:val="7C0F6E17"/>
    <w:rsid w:val="7C567BE5"/>
    <w:rsid w:val="7C7C71B9"/>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3</TotalTime>
  <ScaleCrop>false</ScaleCrop>
  <LinksUpToDate>false</LinksUpToDate>
  <CharactersWithSpaces>130961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2025-06-06T11:14:38Z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64C866DD6CC943D6864AAB7AC4E3BCF5_13</vt:lpwstr>
  </property>
</Properties>
</file>