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bookmarkStart w:id="56" w:name="_GoBack"/>
      <w:bookmarkEnd w:id="56"/>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029/2025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06/2025 - Compras Governamentais </w:t>
            </w:r>
            <w:r>
              <w:rPr>
                <w:rFonts w:hint="default" w:ascii="Arial" w:hAnsi="Arial" w:cs="Arial"/>
                <w:color w:val="000000"/>
                <w:sz w:val="22"/>
                <w:szCs w:val="22"/>
                <w:highlight w:val="yellow"/>
                <w:lang w:val="pt-BR"/>
              </w:rPr>
              <w:t>90006</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28/04/2025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construção da Unidade Básica de Saúde - UBS Padrão Alvenaria Tipo II no Bairro Popular na cidade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2.102.448,57</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006/2025 (90006)</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029/2025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28/04/2025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029/2025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006/2025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especializada</w:t>
      </w:r>
      <w:r>
        <w:rPr>
          <w:rFonts w:hint="default" w:ascii="Arial" w:hAnsi="Arial" w:cs="Arial"/>
          <w:b/>
          <w:bCs w:val="0"/>
          <w:color w:val="000000"/>
          <w:sz w:val="18"/>
          <w:szCs w:val="18"/>
          <w:lang w:val="pt-BR"/>
        </w:rPr>
        <w:t xml:space="preserve"> em serviços de engenharia para construção da Unidade Básica de Saúde - UBS Padrão Alvenaria Tipo II no Bairro Popular na cidade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1. D</w:t>
      </w:r>
      <w:r>
        <w:rPr>
          <w:rFonts w:hint="default" w:ascii="Arial" w:hAnsi="Arial" w:cs="Arial"/>
          <w:b/>
          <w:color w:val="auto"/>
          <w:sz w:val="18"/>
          <w:szCs w:val="18"/>
          <w:lang w:eastAsia="ar-SA"/>
        </w:rPr>
        <w:t xml:space="preserve">O OBJETO DO </w:t>
      </w:r>
      <w:r>
        <w:rPr>
          <w:rFonts w:hint="default" w:ascii="Arial" w:hAnsi="Arial" w:cs="Arial"/>
          <w:b/>
          <w:color w:val="auto"/>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especializada em serviços de engenharia para construção da Unidade Básica de Saúde - UBS Padrão Alvenaria Tipo II no Bairro Popular na cidade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19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 no regime de contratação semi-integrada</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w:t>
      </w:r>
      <w:r>
        <w:rPr>
          <w:rFonts w:hint="default" w:ascii="Arial" w:hAnsi="Arial" w:cs="Arial"/>
          <w:sz w:val="18"/>
          <w:szCs w:val="18"/>
          <w:u w:val="single"/>
          <w:lang w:val="pt-BR" w:eastAsia="ar-SA"/>
        </w:rPr>
        <w:t>planilha</w:t>
      </w:r>
      <w:r>
        <w:rPr>
          <w:rFonts w:hint="default" w:ascii="Arial" w:hAnsi="Arial" w:cs="Arial"/>
          <w:sz w:val="18"/>
          <w:szCs w:val="18"/>
          <w:u w:val="single"/>
          <w:lang w:eastAsia="ar-SA"/>
        </w:rPr>
        <w:t xml:space="preserve"> encontra-se no</w:t>
      </w:r>
      <w:r>
        <w:rPr>
          <w:rFonts w:hint="default" w:ascii="Arial" w:hAnsi="Arial" w:cs="Arial"/>
          <w:sz w:val="18"/>
          <w:szCs w:val="18"/>
          <w:u w:val="single"/>
          <w:lang w:val="pt-BR" w:eastAsia="ar-SA"/>
        </w:rPr>
        <w:t>s</w:t>
      </w:r>
      <w:r>
        <w:rPr>
          <w:rFonts w:hint="default" w:ascii="Arial" w:hAnsi="Arial" w:cs="Arial"/>
          <w:sz w:val="18"/>
          <w:szCs w:val="18"/>
          <w:u w:val="single"/>
          <w:lang w:eastAsia="ar-SA"/>
        </w:rPr>
        <w:t xml:space="preserve"> anexo</w:t>
      </w:r>
      <w:r>
        <w:rPr>
          <w:rFonts w:hint="default" w:ascii="Arial" w:hAnsi="Arial" w:cs="Arial"/>
          <w:sz w:val="18"/>
          <w:szCs w:val="18"/>
          <w:u w:val="single"/>
          <w:lang w:val="pt-BR" w:eastAsia="ar-SA"/>
        </w:rPr>
        <w:t>s disponibilizados, Anexo XII a XXXII</w:t>
      </w:r>
      <w:r>
        <w:rPr>
          <w:rFonts w:hint="default" w:ascii="Arial" w:hAnsi="Arial" w:cs="Arial"/>
          <w:sz w:val="18"/>
          <w:szCs w:val="18"/>
          <w:u w:val="single"/>
          <w:lang w:eastAsia="ar-SA"/>
        </w:rPr>
        <w:t>.</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7F3121AA">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das Unidades de Saúde - Obras e instalações</w:t>
      </w:r>
    </w:p>
    <w:p w14:paraId="37689AD9">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 xml:space="preserve">Ficha 724 - Recurso 1.621.000.0000.000 </w:t>
      </w:r>
    </w:p>
    <w:p w14:paraId="04C8A995">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31A6888">
      <w:pPr>
        <w:pStyle w:val="312"/>
        <w:numPr>
          <w:ilvl w:val="2"/>
          <w:numId w:val="0"/>
        </w:numPr>
        <w:tabs>
          <w:tab w:val="left" w:pos="1200"/>
        </w:tabs>
        <w:spacing w:before="0" w:after="0" w:line="360" w:lineRule="auto"/>
        <w:ind w:leftChars="0"/>
        <w:rPr>
          <w:rFonts w:hint="default" w:ascii="Arial" w:hAnsi="Arial" w:cs="Arial"/>
          <w:i w:val="0"/>
          <w:color w:val="auto"/>
          <w:sz w:val="18"/>
          <w:szCs w:val="18"/>
          <w:u w:val="single"/>
          <w:lang w:val="pt-BR"/>
        </w:rPr>
      </w:pPr>
      <w:r>
        <w:rPr>
          <w:rFonts w:hint="default" w:cs="Arial"/>
          <w:i w:val="0"/>
          <w:color w:val="auto"/>
          <w:sz w:val="18"/>
          <w:szCs w:val="18"/>
          <w:u w:val="single"/>
          <w:lang w:val="pt-BR"/>
        </w:rPr>
        <w:t>3.8.11 Esta licitação não permitirá a formação de consórcios, medida considerada excepcional e conforme justificativa pela Secretaria de Obras no Estudo Técnico Preliminar, Anexo XVI.</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1F53E14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4.16.1 A vistoria será conforme </w:t>
      </w:r>
      <w:r>
        <w:rPr>
          <w:rFonts w:hint="default" w:cs="Arial"/>
          <w:sz w:val="18"/>
          <w:szCs w:val="18"/>
          <w:lang w:val="pt-BR"/>
        </w:rPr>
        <w:t xml:space="preserve">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cs="Arial"/>
          <w:bCs/>
          <w:sz w:val="18"/>
          <w:szCs w:val="18"/>
          <w:lang w:val="pt-BR"/>
        </w:rPr>
        <w:t>/Projeto referência e projeto estrutural</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w:t>
      </w:r>
      <w:r>
        <w:rPr>
          <w:rFonts w:hint="default" w:cs="Arial"/>
          <w:b/>
          <w:bCs/>
          <w:sz w:val="18"/>
          <w:szCs w:val="18"/>
          <w:lang w:val="pt-BR"/>
        </w:rPr>
        <w:t xml:space="preserve">e XXVIII </w:t>
      </w:r>
      <w:r>
        <w:rPr>
          <w:rFonts w:hint="default" w:ascii="Arial" w:hAnsi="Arial" w:cs="Arial"/>
          <w:b/>
          <w:bCs/>
          <w:sz w:val="18"/>
          <w:szCs w:val="18"/>
        </w:rPr>
        <w:t>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170DAFF1">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315249A0">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09EB11D7">
      <w:pPr>
        <w:pStyle w:val="312"/>
        <w:numPr>
          <w:ilvl w:val="2"/>
          <w:numId w:val="0"/>
        </w:numPr>
        <w:tabs>
          <w:tab w:val="left" w:pos="1200"/>
        </w:tabs>
        <w:spacing w:before="0" w:after="0" w:line="360" w:lineRule="auto"/>
        <w:ind w:leftChars="0"/>
        <w:rPr>
          <w:rFonts w:hint="default" w:ascii="Arial" w:hAnsi="Arial" w:cs="Arial"/>
          <w:i/>
          <w:iCs/>
          <w:sz w:val="18"/>
          <w:szCs w:val="18"/>
        </w:rPr>
      </w:pPr>
      <w:r>
        <w:rPr>
          <w:rFonts w:hint="default" w:ascii="Arial" w:hAnsi="Arial" w:cs="Arial"/>
          <w:i w:val="0"/>
          <w:iCs w:val="0"/>
          <w:color w:val="auto"/>
          <w:sz w:val="18"/>
          <w:szCs w:val="18"/>
          <w:lang w:val="pt-BR"/>
        </w:rPr>
        <w:t>8.4</w:t>
      </w:r>
      <w:r>
        <w:rPr>
          <w:rFonts w:hint="default" w:ascii="Arial" w:hAnsi="Arial" w:cs="Arial"/>
          <w:sz w:val="18"/>
          <w:szCs w:val="18"/>
          <w:lang w:val="pt-BR"/>
        </w:rPr>
        <w:t xml:space="preserve"> </w:t>
      </w:r>
      <w:r>
        <w:rPr>
          <w:rFonts w:hint="default" w:cs="Arial"/>
          <w:i w:val="0"/>
          <w:color w:val="auto"/>
          <w:sz w:val="18"/>
          <w:szCs w:val="18"/>
          <w:lang w:val="pt-BR"/>
        </w:rPr>
        <w:t>Esta licitação não permitirá a formação de consórcios, medida considerada excepcional e conforme justificativa pela Secretaria de Obras no Estudo Técnico Preliminar, Anexo XVI.</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8430CEC">
      <w:pPr>
        <w:tabs>
          <w:tab w:val="left" w:pos="993"/>
        </w:tabs>
        <w:jc w:val="both"/>
        <w:rPr>
          <w:rFonts w:hint="default" w:ascii="Arial" w:hAnsi="Arial" w:cs="Arial"/>
          <w:b/>
          <w:sz w:val="18"/>
          <w:szCs w:val="18"/>
        </w:rPr>
      </w:pP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4DAF293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8.10.5.5.1 Os atestados de capacidade técnica poderão ser apresentados em nome da matriz ou da filial da empresa licitante;</w:t>
      </w:r>
    </w:p>
    <w:p w14:paraId="4323B619">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8.10.5.5.2 O licitante disponibilizará quando solicitado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210.244,85 (duzentos e dez mil, duzentos e quarenta e quatro reais e oitenta e cinco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descritivo-Projeto referência</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As obrigações da Contratante e da Contratada são as estabelecidas no</w:t>
      </w:r>
      <w:r>
        <w:rPr>
          <w:rFonts w:hint="default" w:ascii="Arial" w:hAnsi="Arial" w:cs="Arial"/>
          <w:sz w:val="18"/>
          <w:szCs w:val="18"/>
          <w:lang w:val="pt-BR"/>
        </w:rPr>
        <w:t xml:space="preserve"> TR, Estudo Técnico Preliminar e memorial descritivo.</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2.102.448,57 (dois milhões, cento e dois mil, quatrocentos e quarenta e oito reais e cinquenta e sete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ii"/>
      <w:bookmarkEnd w:id="29"/>
      <w:bookmarkStart w:id="30" w:name="art155iv"/>
      <w:bookmarkEnd w:id="30"/>
      <w:bookmarkStart w:id="31" w:name="art155vii"/>
      <w:bookmarkEnd w:id="31"/>
      <w:bookmarkStart w:id="32" w:name="art155vi"/>
      <w:bookmarkEnd w:id="32"/>
      <w:bookmarkStart w:id="33" w:name="art155viii"/>
      <w:bookmarkEnd w:id="33"/>
      <w:bookmarkStart w:id="34" w:name="art155iii"/>
      <w:bookmarkEnd w:id="34"/>
      <w:bookmarkStart w:id="35" w:name="art155ix"/>
      <w:bookmarkEnd w:id="35"/>
      <w:bookmarkStart w:id="36" w:name="art155v"/>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cs="Arial"/>
          <w:color w:val="auto"/>
          <w:sz w:val="18"/>
          <w:szCs w:val="18"/>
          <w:lang w:val="pt-BR"/>
        </w:rPr>
        <w:t>4</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083BF0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56585EC">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4"/>
      <w:bookmarkEnd w:id="37"/>
      <w:bookmarkStart w:id="38" w:name="art156§6"/>
      <w:bookmarkEnd w:id="38"/>
      <w:bookmarkStart w:id="39" w:name="art156§7"/>
      <w:bookmarkEnd w:id="39"/>
      <w:bookmarkStart w:id="40" w:name="art156§6ii"/>
      <w:bookmarkEnd w:id="40"/>
      <w:bookmarkStart w:id="41" w:name="art156§5"/>
      <w:bookmarkEnd w:id="41"/>
      <w:bookmarkStart w:id="42" w:name="art156§3"/>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color w:val="auto"/>
          <w:sz w:val="18"/>
          <w:szCs w:val="18"/>
          <w:lang w:val="pt-BR"/>
        </w:rPr>
      </w:pPr>
      <w:r>
        <w:rPr>
          <w:rFonts w:hint="default" w:ascii="Arial" w:hAnsi="Arial" w:cs="Arial"/>
          <w:color w:val="auto"/>
          <w:sz w:val="18"/>
          <w:szCs w:val="18"/>
        </w:rPr>
        <w:t>Anexo XI</w:t>
      </w:r>
      <w:r>
        <w:rPr>
          <w:rFonts w:hint="default" w:ascii="Arial" w:hAnsi="Arial" w:cs="Arial"/>
          <w:color w:val="auto"/>
          <w:sz w:val="18"/>
          <w:szCs w:val="18"/>
          <w:lang w:val="pt-BR"/>
        </w:rPr>
        <w:t>I</w:t>
      </w:r>
      <w:r>
        <w:rPr>
          <w:rFonts w:hint="default" w:ascii="Arial" w:hAnsi="Arial" w:cs="Arial"/>
          <w:color w:val="auto"/>
          <w:sz w:val="18"/>
          <w:szCs w:val="18"/>
        </w:rPr>
        <w:t xml:space="preserve"> </w:t>
      </w:r>
      <w:r>
        <w:rPr>
          <w:rFonts w:hint="default" w:ascii="Arial" w:hAnsi="Arial" w:cs="Arial"/>
          <w:color w:val="auto"/>
          <w:sz w:val="18"/>
          <w:szCs w:val="18"/>
          <w:lang w:val="pt-BR"/>
        </w:rPr>
        <w:t>- Planilha orçamentária</w:t>
      </w:r>
      <w:r>
        <w:rPr>
          <w:rFonts w:hint="default" w:cs="Arial"/>
          <w:color w:val="auto"/>
          <w:sz w:val="18"/>
          <w:szCs w:val="18"/>
          <w:lang w:val="pt-BR"/>
        </w:rPr>
        <w:t xml:space="preserve"> </w:t>
      </w:r>
    </w:p>
    <w:p w14:paraId="634F6085">
      <w:pPr>
        <w:pStyle w:val="306"/>
        <w:spacing w:before="0" w:after="0" w:line="360" w:lineRule="auto"/>
        <w:ind w:left="0"/>
        <w:rPr>
          <w:rFonts w:hint="default" w:ascii="Arial" w:hAnsi="Arial" w:cs="Arial"/>
          <w:color w:val="auto"/>
          <w:sz w:val="18"/>
          <w:szCs w:val="18"/>
          <w:lang w:val="pt-BR"/>
        </w:rPr>
      </w:pPr>
      <w:r>
        <w:rPr>
          <w:rFonts w:hint="default" w:ascii="Arial" w:hAnsi="Arial" w:cs="Arial"/>
          <w:color w:val="auto"/>
          <w:sz w:val="18"/>
          <w:szCs w:val="18"/>
          <w:lang w:val="pt-BR"/>
        </w:rPr>
        <w:t>Anexo XIII - Composição de BDI</w:t>
      </w:r>
    </w:p>
    <w:p w14:paraId="03616CA5">
      <w:pPr>
        <w:pStyle w:val="306"/>
        <w:spacing w:before="0" w:after="0" w:line="360" w:lineRule="auto"/>
        <w:ind w:left="0"/>
        <w:rPr>
          <w:rFonts w:hint="default" w:ascii="Arial" w:hAnsi="Arial" w:cs="Arial"/>
          <w:color w:val="auto"/>
          <w:sz w:val="18"/>
          <w:szCs w:val="18"/>
          <w:lang w:val="pt-BR"/>
        </w:rPr>
      </w:pPr>
      <w:r>
        <w:rPr>
          <w:rFonts w:hint="default" w:ascii="Arial" w:hAnsi="Arial" w:cs="Arial"/>
          <w:color w:val="auto"/>
          <w:sz w:val="18"/>
          <w:szCs w:val="18"/>
          <w:lang w:val="pt-BR"/>
        </w:rPr>
        <w:t xml:space="preserve">Anexo XIV - </w:t>
      </w:r>
      <w:r>
        <w:rPr>
          <w:rFonts w:hint="default" w:cs="Arial"/>
          <w:color w:val="auto"/>
          <w:sz w:val="18"/>
          <w:szCs w:val="18"/>
          <w:lang w:val="pt-BR"/>
        </w:rPr>
        <w:t>O</w:t>
      </w:r>
      <w:r>
        <w:rPr>
          <w:rFonts w:hint="default" w:ascii="Arial" w:hAnsi="Arial" w:cs="Arial"/>
          <w:color w:val="auto"/>
          <w:sz w:val="18"/>
          <w:szCs w:val="18"/>
          <w:lang w:val="pt-BR"/>
        </w:rPr>
        <w:t>fício de abertura</w:t>
      </w:r>
    </w:p>
    <w:p w14:paraId="16CFA34E">
      <w:pPr>
        <w:pStyle w:val="306"/>
        <w:spacing w:before="0" w:after="0" w:line="360" w:lineRule="auto"/>
        <w:ind w:left="0"/>
        <w:rPr>
          <w:rFonts w:hint="default" w:ascii="Arial" w:hAnsi="Arial" w:cs="Arial"/>
          <w:color w:val="auto"/>
          <w:sz w:val="18"/>
          <w:szCs w:val="18"/>
          <w:lang w:val="pt-BR"/>
        </w:rPr>
      </w:pPr>
      <w:r>
        <w:rPr>
          <w:rFonts w:hint="default" w:ascii="Arial" w:hAnsi="Arial" w:cs="Arial"/>
          <w:color w:val="auto"/>
          <w:sz w:val="18"/>
          <w:szCs w:val="18"/>
          <w:lang w:val="pt-BR"/>
        </w:rPr>
        <w:t>Anexo XV - Cronograma físico-financeiro</w:t>
      </w:r>
    </w:p>
    <w:p w14:paraId="22604188">
      <w:pPr>
        <w:pStyle w:val="306"/>
        <w:spacing w:before="0" w:after="0" w:line="360" w:lineRule="auto"/>
        <w:ind w:left="0"/>
        <w:rPr>
          <w:rFonts w:hint="default" w:ascii="Arial" w:hAnsi="Arial" w:cs="Arial"/>
          <w:color w:val="auto"/>
          <w:sz w:val="18"/>
          <w:szCs w:val="18"/>
          <w:lang w:val="pt-BR"/>
        </w:rPr>
      </w:pPr>
      <w:r>
        <w:rPr>
          <w:rFonts w:hint="default" w:ascii="Arial" w:hAnsi="Arial" w:cs="Arial"/>
          <w:color w:val="auto"/>
          <w:sz w:val="18"/>
          <w:szCs w:val="18"/>
        </w:rPr>
        <w:t>Anexo X</w:t>
      </w:r>
      <w:r>
        <w:rPr>
          <w:rFonts w:hint="default" w:ascii="Arial" w:hAnsi="Arial" w:cs="Arial"/>
          <w:color w:val="auto"/>
          <w:sz w:val="18"/>
          <w:szCs w:val="18"/>
          <w:lang w:val="pt-BR"/>
        </w:rPr>
        <w:t>VI -</w:t>
      </w:r>
      <w:r>
        <w:rPr>
          <w:rFonts w:hint="default" w:ascii="Arial" w:hAnsi="Arial" w:cs="Arial"/>
          <w:color w:val="auto"/>
          <w:sz w:val="18"/>
          <w:szCs w:val="18"/>
        </w:rPr>
        <w:t xml:space="preserve"> Estudo técnico preliminar (ETP)</w:t>
      </w:r>
      <w:r>
        <w:rPr>
          <w:rFonts w:hint="default" w:cs="Arial"/>
          <w:color w:val="auto"/>
          <w:sz w:val="18"/>
          <w:szCs w:val="18"/>
          <w:lang w:val="pt-BR"/>
        </w:rPr>
        <w:t xml:space="preserve">, matriz de risco </w:t>
      </w:r>
      <w:r>
        <w:rPr>
          <w:rFonts w:hint="default" w:ascii="Arial" w:hAnsi="Arial" w:cs="Arial"/>
          <w:color w:val="auto"/>
          <w:sz w:val="18"/>
          <w:szCs w:val="18"/>
        </w:rPr>
        <w:t>e demandas</w:t>
      </w:r>
    </w:p>
    <w:p w14:paraId="37CDCF2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Anexo X</w:t>
      </w:r>
      <w:r>
        <w:rPr>
          <w:rFonts w:hint="default" w:ascii="Arial" w:hAnsi="Arial" w:cs="Arial"/>
          <w:color w:val="auto"/>
          <w:sz w:val="18"/>
          <w:szCs w:val="18"/>
          <w:lang w:val="pt-BR"/>
        </w:rPr>
        <w:t>VII</w:t>
      </w:r>
      <w:r>
        <w:rPr>
          <w:rFonts w:hint="default" w:ascii="Arial" w:hAnsi="Arial" w:cs="Arial"/>
          <w:color w:val="auto"/>
          <w:sz w:val="18"/>
          <w:szCs w:val="18"/>
        </w:rPr>
        <w:t xml:space="preserve"> - Decreto 5.811/2023 (IR)</w:t>
      </w:r>
    </w:p>
    <w:p w14:paraId="7768582A">
      <w:pPr>
        <w:pStyle w:val="306"/>
        <w:spacing w:before="0" w:after="0" w:line="360" w:lineRule="auto"/>
        <w:ind w:left="0"/>
        <w:rPr>
          <w:rFonts w:hint="default" w:ascii="Arial" w:hAnsi="Arial" w:cs="Arial"/>
          <w:color w:val="auto"/>
          <w:sz w:val="18"/>
          <w:szCs w:val="18"/>
          <w:lang w:val="pt-BR"/>
        </w:rPr>
      </w:pPr>
      <w:r>
        <w:rPr>
          <w:rFonts w:hint="default" w:ascii="Arial" w:hAnsi="Arial" w:cs="Arial"/>
          <w:color w:val="auto"/>
          <w:sz w:val="18"/>
          <w:szCs w:val="18"/>
        </w:rPr>
        <w:t>Anexo XV</w:t>
      </w:r>
      <w:r>
        <w:rPr>
          <w:rFonts w:hint="default" w:ascii="Arial" w:hAnsi="Arial" w:cs="Arial"/>
          <w:color w:val="auto"/>
          <w:sz w:val="18"/>
          <w:szCs w:val="18"/>
          <w:lang w:val="pt-BR"/>
        </w:rPr>
        <w:t>I</w:t>
      </w:r>
      <w:r>
        <w:rPr>
          <w:rFonts w:hint="default" w:cs="Arial"/>
          <w:color w:val="auto"/>
          <w:sz w:val="18"/>
          <w:szCs w:val="18"/>
          <w:lang w:val="pt-BR"/>
        </w:rPr>
        <w:t>I</w:t>
      </w:r>
      <w:r>
        <w:rPr>
          <w:rFonts w:hint="default" w:ascii="Arial" w:hAnsi="Arial" w:cs="Arial"/>
          <w:color w:val="auto"/>
          <w:sz w:val="18"/>
          <w:szCs w:val="18"/>
          <w:lang w:val="pt-BR"/>
        </w:rPr>
        <w:t>I</w:t>
      </w:r>
      <w:r>
        <w:rPr>
          <w:rFonts w:hint="default" w:ascii="Arial" w:hAnsi="Arial" w:cs="Arial"/>
          <w:color w:val="auto"/>
          <w:sz w:val="18"/>
          <w:szCs w:val="18"/>
        </w:rPr>
        <w:t xml:space="preserve"> - </w:t>
      </w:r>
      <w:r>
        <w:rPr>
          <w:rFonts w:hint="default" w:ascii="Arial" w:hAnsi="Arial" w:cs="Arial"/>
          <w:color w:val="auto"/>
          <w:sz w:val="18"/>
          <w:szCs w:val="18"/>
          <w:lang w:val="pt-BR"/>
        </w:rPr>
        <w:t>Mem</w:t>
      </w:r>
      <w:r>
        <w:rPr>
          <w:rFonts w:hint="default" w:cs="Arial"/>
          <w:color w:val="auto"/>
          <w:sz w:val="18"/>
          <w:szCs w:val="18"/>
          <w:lang w:val="pt-BR"/>
        </w:rPr>
        <w:t>orial Descritivo</w:t>
      </w:r>
    </w:p>
    <w:p w14:paraId="34FF0177">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Anexo </w:t>
      </w:r>
      <w:r>
        <w:rPr>
          <w:rFonts w:hint="default" w:ascii="Arial" w:hAnsi="Arial" w:cs="Arial"/>
          <w:color w:val="auto"/>
          <w:sz w:val="18"/>
          <w:szCs w:val="18"/>
          <w:lang w:val="pt-BR"/>
        </w:rPr>
        <w:t>XIX</w:t>
      </w:r>
      <w:r>
        <w:rPr>
          <w:rFonts w:hint="default" w:ascii="Arial" w:hAnsi="Arial" w:cs="Arial"/>
          <w:color w:val="auto"/>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color w:val="auto"/>
          <w:sz w:val="18"/>
          <w:szCs w:val="18"/>
        </w:rPr>
      </w:pPr>
      <w:r>
        <w:rPr>
          <w:rFonts w:hint="default" w:ascii="Arial" w:hAnsi="Arial" w:cs="Arial"/>
          <w:color w:val="auto"/>
          <w:sz w:val="18"/>
          <w:szCs w:val="18"/>
          <w:lang w:val="pt-BR"/>
        </w:rPr>
        <w:t>Anexo XX - L</w:t>
      </w:r>
      <w:r>
        <w:rPr>
          <w:rFonts w:hint="default" w:ascii="Arial" w:hAnsi="Arial" w:cs="Arial"/>
          <w:bCs/>
          <w:color w:val="auto"/>
          <w:sz w:val="18"/>
          <w:szCs w:val="18"/>
        </w:rPr>
        <w:t>ei 4.853/2022</w:t>
      </w:r>
    </w:p>
    <w:p w14:paraId="19CF9A57">
      <w:pPr>
        <w:pStyle w:val="300"/>
        <w:numPr>
          <w:ilvl w:val="0"/>
          <w:numId w:val="0"/>
        </w:numPr>
        <w:spacing w:line="360" w:lineRule="auto"/>
        <w:ind w:leftChars="0"/>
        <w:jc w:val="both"/>
        <w:rPr>
          <w:rFonts w:hint="default" w:ascii="Arial" w:hAnsi="Arial" w:cs="Arial"/>
          <w:bCs/>
          <w:color w:val="auto"/>
          <w:sz w:val="18"/>
          <w:szCs w:val="18"/>
        </w:rPr>
      </w:pPr>
      <w:r>
        <w:rPr>
          <w:rFonts w:hint="default" w:ascii="Arial" w:hAnsi="Arial" w:cs="Arial"/>
          <w:bCs/>
          <w:color w:val="auto"/>
          <w:sz w:val="18"/>
          <w:szCs w:val="18"/>
          <w:lang w:val="pt-BR"/>
        </w:rPr>
        <w:t>Anexo XXI -  L</w:t>
      </w:r>
      <w:r>
        <w:rPr>
          <w:rFonts w:hint="default" w:ascii="Arial" w:hAnsi="Arial" w:cs="Arial"/>
          <w:bCs/>
          <w:color w:val="auto"/>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XXII - Parecer jurídico abertura</w:t>
      </w:r>
    </w:p>
    <w:p w14:paraId="3BE0E34E">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XXIII - Relatório Fotográfico</w:t>
      </w:r>
    </w:p>
    <w:p w14:paraId="70EB8B20">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XXIV - Projetos</w:t>
      </w:r>
    </w:p>
    <w:p w14:paraId="02B7CCD1">
      <w:pPr>
        <w:pStyle w:val="300"/>
        <w:numPr>
          <w:ilvl w:val="0"/>
          <w:numId w:val="0"/>
        </w:numPr>
        <w:spacing w:line="360" w:lineRule="auto"/>
        <w:ind w:left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Anexo XXV - Memória de cálculo</w:t>
      </w:r>
    </w:p>
    <w:p w14:paraId="3067FA1A">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XXVI - Relatório de sondagem</w:t>
      </w:r>
    </w:p>
    <w:p w14:paraId="6D70FF27">
      <w:pPr>
        <w:pStyle w:val="300"/>
        <w:numPr>
          <w:ilvl w:val="0"/>
          <w:numId w:val="0"/>
        </w:numPr>
        <w:spacing w:line="360" w:lineRule="auto"/>
        <w:ind w:left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Anexo XXVII - Composição </w:t>
      </w:r>
    </w:p>
    <w:p w14:paraId="5F4A4C4F">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XXVIII - Termo de referência - projetos</w:t>
      </w:r>
    </w:p>
    <w:p w14:paraId="77D3719C">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XXIX - Croqui do Bairro Popular</w:t>
      </w:r>
    </w:p>
    <w:p w14:paraId="7D492189">
      <w:pPr>
        <w:pStyle w:val="306"/>
        <w:spacing w:before="0" w:after="0" w:line="240" w:lineRule="auto"/>
        <w:ind w:left="0"/>
        <w:rPr>
          <w:rFonts w:hint="default" w:ascii="Arial" w:hAnsi="Arial" w:cs="Arial"/>
          <w:color w:val="FF0000"/>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 xml:space="preserve">17. </w:t>
      </w:r>
      <w:r>
        <w:rPr>
          <w:rFonts w:hint="default" w:ascii="Arial" w:hAnsi="Arial" w:cs="Arial"/>
          <w:b/>
          <w:sz w:val="18"/>
          <w:szCs w:val="18"/>
          <w:lang w:eastAsia="ar-SA"/>
        </w:rPr>
        <w:t>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27 de fevereiro de 2025</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B052231">
      <w:pPr>
        <w:spacing w:line="360" w:lineRule="auto"/>
        <w:ind w:firstLine="567"/>
        <w:jc w:val="center"/>
        <w:rPr>
          <w:rFonts w:ascii="Arial" w:hAnsi="Arial" w:cs="Arial"/>
          <w:b/>
          <w:bCs/>
          <w:sz w:val="20"/>
          <w:szCs w:val="20"/>
        </w:rPr>
      </w:pPr>
    </w:p>
    <w:p w14:paraId="73B2331C">
      <w:pPr>
        <w:spacing w:line="360" w:lineRule="auto"/>
        <w:ind w:firstLine="567"/>
        <w:jc w:val="center"/>
        <w:rPr>
          <w:rFonts w:ascii="Arial" w:hAnsi="Arial" w:cs="Arial"/>
          <w:b/>
          <w:bCs/>
          <w:sz w:val="20"/>
          <w:szCs w:val="20"/>
        </w:rPr>
      </w:pPr>
    </w:p>
    <w:p w14:paraId="4F43AA04">
      <w:pPr>
        <w:spacing w:line="360" w:lineRule="auto"/>
        <w:ind w:firstLine="567"/>
        <w:jc w:val="center"/>
        <w:rPr>
          <w:rFonts w:ascii="Arial" w:hAnsi="Arial" w:cs="Arial"/>
          <w:b/>
          <w:bCs/>
          <w:sz w:val="20"/>
          <w:szCs w:val="20"/>
        </w:rPr>
      </w:pPr>
    </w:p>
    <w:p w14:paraId="2E7562E1">
      <w:pPr>
        <w:spacing w:line="360" w:lineRule="auto"/>
        <w:ind w:firstLine="567"/>
        <w:jc w:val="center"/>
        <w:rPr>
          <w:rFonts w:ascii="Arial" w:hAnsi="Arial" w:cs="Arial"/>
          <w:b/>
          <w:bCs/>
          <w:sz w:val="20"/>
          <w:szCs w:val="20"/>
        </w:rPr>
      </w:pPr>
    </w:p>
    <w:p w14:paraId="00D11485">
      <w:pPr>
        <w:spacing w:line="360" w:lineRule="auto"/>
        <w:ind w:firstLine="567"/>
        <w:jc w:val="center"/>
        <w:rPr>
          <w:rFonts w:ascii="Arial" w:hAnsi="Arial" w:cs="Arial"/>
          <w:b/>
          <w:bCs/>
          <w:sz w:val="20"/>
          <w:szCs w:val="20"/>
        </w:rPr>
      </w:pPr>
    </w:p>
    <w:p w14:paraId="6F895333">
      <w:pPr>
        <w:spacing w:line="360" w:lineRule="auto"/>
        <w:ind w:firstLine="567"/>
        <w:jc w:val="center"/>
        <w:rPr>
          <w:rFonts w:ascii="Arial" w:hAnsi="Arial" w:cs="Arial"/>
          <w:b/>
          <w:bCs/>
          <w:sz w:val="20"/>
          <w:szCs w:val="20"/>
        </w:rPr>
      </w:pPr>
    </w:p>
    <w:p w14:paraId="60AC3B0D">
      <w:pPr>
        <w:spacing w:line="360" w:lineRule="auto"/>
        <w:ind w:firstLine="567"/>
        <w:jc w:val="center"/>
        <w:rPr>
          <w:rFonts w:ascii="Arial" w:hAnsi="Arial" w:cs="Arial"/>
          <w:b/>
          <w:bCs/>
          <w:sz w:val="20"/>
          <w:szCs w:val="20"/>
        </w:rPr>
      </w:pPr>
    </w:p>
    <w:p w14:paraId="0F30C733">
      <w:pPr>
        <w:spacing w:line="360" w:lineRule="auto"/>
        <w:ind w:firstLine="567"/>
        <w:jc w:val="center"/>
        <w:rPr>
          <w:rFonts w:ascii="Arial" w:hAnsi="Arial" w:cs="Arial"/>
          <w:b/>
          <w:bCs/>
          <w:sz w:val="20"/>
          <w:szCs w:val="20"/>
        </w:rPr>
      </w:pPr>
    </w:p>
    <w:p w14:paraId="45C3D4E8">
      <w:pPr>
        <w:spacing w:line="360" w:lineRule="auto"/>
        <w:ind w:firstLine="567"/>
        <w:jc w:val="center"/>
        <w:rPr>
          <w:rFonts w:ascii="Arial" w:hAnsi="Arial" w:cs="Arial"/>
          <w:b/>
          <w:bCs/>
          <w:sz w:val="20"/>
          <w:szCs w:val="20"/>
        </w:rPr>
      </w:pPr>
    </w:p>
    <w:p w14:paraId="698A4B2B">
      <w:pPr>
        <w:spacing w:line="360" w:lineRule="auto"/>
        <w:ind w:firstLine="567"/>
        <w:jc w:val="center"/>
        <w:rPr>
          <w:rFonts w:ascii="Arial" w:hAnsi="Arial" w:cs="Arial"/>
          <w:b/>
          <w:bCs/>
          <w:sz w:val="20"/>
          <w:szCs w:val="20"/>
        </w:rPr>
      </w:pPr>
    </w:p>
    <w:p w14:paraId="14B8B891">
      <w:pPr>
        <w:spacing w:line="360" w:lineRule="auto"/>
        <w:ind w:firstLine="567"/>
        <w:jc w:val="center"/>
        <w:rPr>
          <w:rFonts w:ascii="Arial" w:hAnsi="Arial" w:cs="Arial"/>
          <w:b/>
          <w:bCs/>
          <w:sz w:val="20"/>
          <w:szCs w:val="20"/>
        </w:rPr>
      </w:pPr>
    </w:p>
    <w:p w14:paraId="62AEF1EB">
      <w:pPr>
        <w:spacing w:line="360" w:lineRule="auto"/>
        <w:ind w:firstLine="567"/>
        <w:jc w:val="center"/>
        <w:rPr>
          <w:rFonts w:ascii="Arial" w:hAnsi="Arial" w:cs="Arial"/>
          <w:b/>
          <w:bCs/>
          <w:sz w:val="20"/>
          <w:szCs w:val="20"/>
        </w:rPr>
      </w:pPr>
    </w:p>
    <w:p w14:paraId="68FF9254">
      <w:pPr>
        <w:spacing w:line="360" w:lineRule="auto"/>
        <w:ind w:firstLine="567"/>
        <w:jc w:val="center"/>
        <w:rPr>
          <w:rFonts w:ascii="Arial" w:hAnsi="Arial" w:cs="Arial"/>
          <w:b/>
          <w:bCs/>
          <w:sz w:val="20"/>
          <w:szCs w:val="20"/>
        </w:rPr>
      </w:pPr>
    </w:p>
    <w:p w14:paraId="77FC99C2">
      <w:pPr>
        <w:spacing w:line="360" w:lineRule="auto"/>
        <w:ind w:firstLine="567"/>
        <w:jc w:val="center"/>
        <w:rPr>
          <w:rFonts w:ascii="Arial" w:hAnsi="Arial" w:cs="Arial"/>
          <w:b/>
          <w:bCs/>
          <w:sz w:val="20"/>
          <w:szCs w:val="20"/>
        </w:rPr>
      </w:pPr>
    </w:p>
    <w:p w14:paraId="2D0D7B69">
      <w:pPr>
        <w:spacing w:line="360" w:lineRule="auto"/>
        <w:ind w:firstLine="567"/>
        <w:jc w:val="center"/>
        <w:rPr>
          <w:rFonts w:ascii="Arial" w:hAnsi="Arial" w:cs="Arial"/>
          <w:b/>
          <w:bCs/>
          <w:sz w:val="20"/>
          <w:szCs w:val="20"/>
        </w:rPr>
      </w:pPr>
    </w:p>
    <w:p w14:paraId="68CC8BBE">
      <w:pPr>
        <w:spacing w:line="360" w:lineRule="auto"/>
        <w:ind w:firstLine="567"/>
        <w:jc w:val="center"/>
        <w:rPr>
          <w:rFonts w:ascii="Arial" w:hAnsi="Arial" w:cs="Arial"/>
          <w:b/>
          <w:bCs/>
          <w:sz w:val="20"/>
          <w:szCs w:val="20"/>
        </w:rPr>
      </w:pPr>
    </w:p>
    <w:p w14:paraId="42637973">
      <w:pPr>
        <w:spacing w:line="360" w:lineRule="auto"/>
        <w:ind w:firstLine="567"/>
        <w:jc w:val="center"/>
        <w:rPr>
          <w:rFonts w:ascii="Arial" w:hAnsi="Arial" w:cs="Arial"/>
          <w:b/>
          <w:bCs/>
          <w:sz w:val="20"/>
          <w:szCs w:val="20"/>
        </w:rPr>
      </w:pPr>
    </w:p>
    <w:p w14:paraId="2C39B960">
      <w:pPr>
        <w:spacing w:line="360" w:lineRule="auto"/>
        <w:ind w:firstLine="567"/>
        <w:jc w:val="center"/>
        <w:rPr>
          <w:rFonts w:ascii="Arial" w:hAnsi="Arial" w:cs="Arial"/>
          <w:b/>
          <w:bCs/>
          <w:sz w:val="20"/>
          <w:szCs w:val="20"/>
        </w:rPr>
      </w:pPr>
    </w:p>
    <w:p w14:paraId="0895A5A3">
      <w:pPr>
        <w:spacing w:line="360" w:lineRule="auto"/>
        <w:ind w:firstLine="567"/>
        <w:jc w:val="center"/>
        <w:rPr>
          <w:rFonts w:ascii="Arial" w:hAnsi="Arial" w:cs="Arial"/>
          <w:b/>
          <w:bCs/>
          <w:sz w:val="20"/>
          <w:szCs w:val="20"/>
        </w:rPr>
      </w:pPr>
    </w:p>
    <w:p w14:paraId="2FB577DA">
      <w:pPr>
        <w:spacing w:line="360" w:lineRule="auto"/>
        <w:ind w:firstLine="567"/>
        <w:jc w:val="center"/>
        <w:rPr>
          <w:rFonts w:ascii="Arial" w:hAnsi="Arial" w:cs="Arial"/>
          <w:b/>
          <w:bCs/>
          <w:sz w:val="20"/>
          <w:szCs w:val="20"/>
        </w:rPr>
      </w:pPr>
    </w:p>
    <w:p w14:paraId="5FE3A62B">
      <w:pPr>
        <w:spacing w:line="360" w:lineRule="auto"/>
        <w:ind w:firstLine="567"/>
        <w:jc w:val="center"/>
        <w:rPr>
          <w:rFonts w:ascii="Arial" w:hAnsi="Arial" w:cs="Arial"/>
          <w:b/>
          <w:bCs/>
          <w:sz w:val="20"/>
          <w:szCs w:val="20"/>
        </w:rPr>
      </w:pPr>
    </w:p>
    <w:p w14:paraId="4817F14A">
      <w:pPr>
        <w:spacing w:line="360" w:lineRule="auto"/>
        <w:ind w:firstLine="567"/>
        <w:jc w:val="center"/>
        <w:rPr>
          <w:rFonts w:ascii="Arial" w:hAnsi="Arial" w:cs="Arial"/>
          <w:b/>
          <w:bCs/>
          <w:sz w:val="20"/>
          <w:szCs w:val="20"/>
        </w:rPr>
      </w:pPr>
    </w:p>
    <w:p w14:paraId="70275802">
      <w:pPr>
        <w:spacing w:line="360" w:lineRule="auto"/>
        <w:ind w:firstLine="567"/>
        <w:jc w:val="center"/>
        <w:rPr>
          <w:rFonts w:ascii="Arial" w:hAnsi="Arial" w:cs="Arial"/>
          <w:b/>
          <w:bCs/>
          <w:sz w:val="20"/>
          <w:szCs w:val="20"/>
        </w:rPr>
      </w:pPr>
    </w:p>
    <w:p w14:paraId="3D51631B">
      <w:pPr>
        <w:spacing w:line="360" w:lineRule="auto"/>
        <w:ind w:firstLine="567"/>
        <w:jc w:val="center"/>
        <w:rPr>
          <w:rFonts w:ascii="Arial" w:hAnsi="Arial" w:cs="Arial"/>
          <w:b/>
          <w:bCs/>
          <w:sz w:val="20"/>
          <w:szCs w:val="20"/>
        </w:rPr>
      </w:pPr>
    </w:p>
    <w:p w14:paraId="75AEC8CD">
      <w:pPr>
        <w:spacing w:line="360" w:lineRule="auto"/>
        <w:ind w:firstLine="567"/>
        <w:jc w:val="center"/>
        <w:rPr>
          <w:rFonts w:ascii="Arial" w:hAnsi="Arial" w:cs="Arial"/>
          <w:b/>
          <w:bCs/>
          <w:sz w:val="20"/>
          <w:szCs w:val="20"/>
        </w:rPr>
      </w:pPr>
    </w:p>
    <w:p w14:paraId="63C8FD69">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06773EC2">
      <w:pPr>
        <w:spacing w:line="360" w:lineRule="auto"/>
        <w:ind w:firstLine="567"/>
        <w:jc w:val="center"/>
        <w:rPr>
          <w:rFonts w:ascii="Arial" w:hAnsi="Arial" w:cs="Arial"/>
          <w:b/>
          <w:bCs/>
          <w:sz w:val="20"/>
          <w:szCs w:val="20"/>
        </w:rPr>
      </w:pPr>
    </w:p>
    <w:p w14:paraId="776A1527">
      <w:pPr>
        <w:spacing w:line="360" w:lineRule="auto"/>
        <w:ind w:firstLine="567"/>
        <w:jc w:val="center"/>
        <w:rPr>
          <w:rFonts w:ascii="Arial" w:hAnsi="Arial" w:cs="Arial"/>
          <w:b/>
          <w:bCs/>
          <w:sz w:val="20"/>
          <w:szCs w:val="20"/>
        </w:rPr>
      </w:pPr>
    </w:p>
    <w:p w14:paraId="457F7E9F">
      <w:pPr>
        <w:spacing w:line="360" w:lineRule="auto"/>
        <w:ind w:firstLine="567"/>
        <w:jc w:val="center"/>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auto"/>
          <w:sz w:val="20"/>
          <w:szCs w:val="20"/>
        </w:rPr>
      </w:pPr>
    </w:p>
    <w:p w14:paraId="429CC1B4">
      <w:pPr>
        <w:pStyle w:val="188"/>
        <w:spacing w:before="0" w:after="0"/>
        <w:jc w:val="center"/>
        <w:rPr>
          <w:color w:val="auto"/>
        </w:rPr>
      </w:pPr>
      <w:r>
        <w:rPr>
          <w:color w:val="auto"/>
        </w:rPr>
        <w:t>MODELO DE PROPOSTA COMERCIAL</w:t>
      </w:r>
    </w:p>
    <w:p w14:paraId="59DE152D">
      <w:pPr>
        <w:ind w:firstLine="567"/>
        <w:jc w:val="center"/>
        <w:rPr>
          <w:color w:val="auto"/>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006/2025</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28 de abril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C2641D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F61761">
      <w:pPr>
        <w:spacing w:line="276" w:lineRule="auto"/>
        <w:ind w:left="-142"/>
        <w:rPr>
          <w:rFonts w:ascii="Arial" w:hAnsi="Arial" w:cs="Arial"/>
          <w:sz w:val="20"/>
          <w:szCs w:val="20"/>
        </w:rPr>
      </w:pPr>
    </w:p>
    <w:p w14:paraId="3CD79901">
      <w:pPr>
        <w:spacing w:line="360" w:lineRule="auto"/>
        <w:ind w:left="-142" w:leftChars="0" w:firstLine="708" w:firstLineChars="0"/>
        <w:jc w:val="both"/>
        <w:rPr>
          <w:rFonts w:hint="default" w:ascii="Arial" w:hAnsi="Arial" w:cs="Arial"/>
          <w:sz w:val="20"/>
          <w:szCs w:val="20"/>
        </w:rPr>
      </w:pPr>
    </w:p>
    <w:p w14:paraId="6F334A21">
      <w:pPr>
        <w:spacing w:line="360" w:lineRule="auto"/>
        <w:ind w:left="-142" w:leftChars="0"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b w:val="0"/>
          <w:bCs w:val="0"/>
          <w:color w:val="000000"/>
          <w:sz w:val="20"/>
          <w:szCs w:val="20"/>
          <w:lang w:val="pt-BR"/>
        </w:rPr>
        <w:t xml:space="preserve"> de engenharia no regime de contratação semi-integrada para construção da Unidade Básica de Saúde - UBS Padrão Alvenaria Tipo II no Bairro Popular na cidade de Cataguases-MG.</w:t>
      </w:r>
      <w:r>
        <w:rPr>
          <w:rFonts w:hint="default" w:ascii="Arial" w:hAnsi="Arial" w:cs="Arial"/>
          <w:b w:val="0"/>
          <w:bCs w:val="0"/>
          <w:sz w:val="20"/>
          <w:szCs w:val="20"/>
        </w:rPr>
        <w:t xml:space="preserve"> Declaramos ainda, in</w:t>
      </w:r>
      <w:r>
        <w:rPr>
          <w:rFonts w:hint="default" w:ascii="Arial" w:hAnsi="Arial" w:cs="Arial"/>
          <w:sz w:val="20"/>
          <w:szCs w:val="20"/>
        </w:rPr>
        <w:t>teira aceitação das condições de contratação integrantes do edital</w:t>
      </w:r>
      <w:r>
        <w:rPr>
          <w:rFonts w:hint="default" w:ascii="Arial" w:hAnsi="Arial" w:cs="Arial"/>
          <w:sz w:val="20"/>
          <w:szCs w:val="20"/>
          <w:lang w:val="pt-BR"/>
        </w:rPr>
        <w:t xml:space="preserve"> e seus anexos</w:t>
      </w:r>
      <w:r>
        <w:rPr>
          <w:rFonts w:hint="default" w:ascii="Arial" w:hAnsi="Arial" w:cs="Arial"/>
          <w:sz w:val="20"/>
          <w:szCs w:val="20"/>
        </w:rPr>
        <w:t>.</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40F156C9">
      <w:pPr>
        <w:jc w:val="both"/>
        <w:rPr>
          <w:rFonts w:ascii="Arial" w:hAnsi="Arial" w:cs="Arial"/>
          <w:b/>
          <w:bCs/>
          <w:sz w:val="32"/>
          <w:szCs w:val="32"/>
        </w:rPr>
      </w:pPr>
    </w:p>
    <w:p w14:paraId="3F3721B1">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029/2025</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006/2025</w:t>
      </w:r>
    </w:p>
    <w:p w14:paraId="40CDEB9C">
      <w:pPr>
        <w:jc w:val="both"/>
        <w:rPr>
          <w:rFonts w:hint="default" w:ascii="Arial" w:hAnsi="Arial" w:cs="Arial"/>
          <w:b/>
          <w:bCs/>
          <w:color w:val="auto"/>
          <w:sz w:val="18"/>
          <w:szCs w:val="18"/>
        </w:rPr>
      </w:pPr>
    </w:p>
    <w:p w14:paraId="605B4AD3">
      <w:pPr>
        <w:jc w:val="both"/>
        <w:rPr>
          <w:rFonts w:hint="default" w:ascii="Arial" w:hAnsi="Arial" w:cs="Arial"/>
          <w:b/>
          <w:bCs w:val="0"/>
          <w:color w:val="000000"/>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val="0"/>
          <w:color w:val="000000"/>
          <w:sz w:val="18"/>
          <w:szCs w:val="18"/>
          <w:lang w:val="pt-BR"/>
        </w:rPr>
        <w:t>SERVIÇOS DE</w:t>
      </w:r>
      <w:r>
        <w:rPr>
          <w:rFonts w:hint="default" w:ascii="Arial" w:hAnsi="Arial" w:cs="Arial"/>
          <w:b/>
          <w:bCs w:val="0"/>
          <w:color w:val="000000"/>
          <w:sz w:val="18"/>
          <w:szCs w:val="18"/>
          <w:lang w:val="pt-BR"/>
        </w:rPr>
        <w:t xml:space="preserve"> ENGENHARIA PARA CONSTRUÇÃO DA UNIDADE BÁSICA DE SAÚDE - UBS PADRÃO ALVENARIA TIPO II NO BAIRRO POPULAR NA CIDADE DE CATAGUASES-MG.</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029/2025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006/2025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empr</w:t>
      </w:r>
      <w:r>
        <w:rPr>
          <w:rFonts w:hint="default" w:ascii="Arial" w:hAnsi="Arial" w:cs="Arial"/>
          <w:b w:val="0"/>
          <w:bCs w:val="0"/>
          <w:color w:val="000000"/>
          <w:sz w:val="18"/>
          <w:szCs w:val="18"/>
          <w:lang w:val="pt-BR"/>
        </w:rPr>
        <w:t xml:space="preserve">esa para </w:t>
      </w:r>
      <w:r>
        <w:rPr>
          <w:rFonts w:hint="default" w:ascii="Arial" w:hAnsi="Arial" w:cs="Arial"/>
          <w:b w:val="0"/>
          <w:bCs/>
          <w:color w:val="000000"/>
          <w:sz w:val="18"/>
          <w:szCs w:val="18"/>
          <w:lang w:val="pt-BR"/>
        </w:rPr>
        <w:t xml:space="preserve">serviços de engenharia para </w:t>
      </w:r>
      <w:r>
        <w:rPr>
          <w:rFonts w:hint="default" w:ascii="Arial" w:hAnsi="Arial" w:cs="Arial"/>
          <w:b w:val="0"/>
          <w:bCs w:val="0"/>
          <w:color w:val="000000"/>
          <w:sz w:val="18"/>
          <w:szCs w:val="18"/>
          <w:lang w:val="pt-BR"/>
        </w:rPr>
        <w:t>construção da Unidade Básica de Saúde - UBS Padrão Alvenaria Tipo II no Bairro Popular na cidade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mobilização e desmobiliz</w:t>
      </w:r>
      <w:r>
        <w:rPr>
          <w:rFonts w:hint="default" w:ascii="Arial" w:hAnsi="Arial" w:cs="Arial"/>
          <w:sz w:val="18"/>
          <w:szCs w:val="18"/>
        </w:rPr>
        <w:t xml:space="preserve">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029/2025</w:t>
      </w:r>
      <w:r>
        <w:rPr>
          <w:rFonts w:hint="default" w:ascii="Arial" w:hAnsi="Arial" w:cs="Arial"/>
          <w:sz w:val="18"/>
          <w:szCs w:val="18"/>
        </w:rPr>
        <w:t xml:space="preserve"> e seus anexos (</w:t>
      </w:r>
      <w:r>
        <w:rPr>
          <w:rFonts w:hint="default" w:ascii="Arial" w:hAnsi="Arial" w:cs="Arial"/>
          <w:sz w:val="18"/>
          <w:szCs w:val="18"/>
          <w:lang w:val="pt-BR"/>
        </w:rPr>
        <w:t>projeto referência, projeto estrutural</w:t>
      </w:r>
      <w:r>
        <w:rPr>
          <w:rFonts w:hint="default" w:ascii="Arial" w:hAnsi="Arial" w:cs="Arial"/>
          <w:sz w:val="18"/>
          <w:szCs w:val="18"/>
        </w:rPr>
        <w:t>, projetos</w:t>
      </w:r>
      <w:r>
        <w:rPr>
          <w:rFonts w:hint="default" w:ascii="Arial" w:hAnsi="Arial" w:cs="Arial"/>
          <w:sz w:val="18"/>
          <w:szCs w:val="18"/>
          <w:lang w:val="pt-BR"/>
        </w:rPr>
        <w:t xml:space="preserve"> aprovados</w:t>
      </w:r>
      <w:r>
        <w:rPr>
          <w:rFonts w:hint="default" w:ascii="Arial" w:hAnsi="Arial" w:cs="Arial"/>
          <w:sz w:val="18"/>
          <w:szCs w:val="18"/>
        </w:rPr>
        <w:t>, planilhas</w:t>
      </w:r>
      <w:r>
        <w:rPr>
          <w:rFonts w:hint="default" w:ascii="Arial" w:hAnsi="Arial" w:cs="Arial"/>
          <w:sz w:val="18"/>
          <w:szCs w:val="18"/>
          <w:lang w:val="pt-BR"/>
        </w:rPr>
        <w:t xml:space="preserve">, </w:t>
      </w:r>
      <w:r>
        <w:rPr>
          <w:rFonts w:hint="default" w:ascii="Arial" w:hAnsi="Arial" w:cs="Arial"/>
          <w:sz w:val="18"/>
          <w:szCs w:val="18"/>
        </w:rPr>
        <w:t>cronograma físico financeiro</w:t>
      </w:r>
      <w:r>
        <w:rPr>
          <w:rFonts w:hint="default" w:ascii="Arial" w:hAnsi="Arial" w:cs="Arial"/>
          <w:sz w:val="18"/>
          <w:szCs w:val="18"/>
          <w:lang w:val="pt-BR"/>
        </w:rPr>
        <w:t xml:space="preserve"> e demais documentos anexos que compõem na execução do serviço</w:t>
      </w:r>
      <w:r>
        <w:rPr>
          <w:rFonts w:hint="default" w:ascii="Arial" w:hAnsi="Arial" w:cs="Arial"/>
          <w:sz w:val="18"/>
          <w:szCs w:val="18"/>
        </w:rPr>
        <w:t>)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Projeto referência, projeto estrutural, projetos aprovados, especificação de materiais e documentos complementares</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11 (onze)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10 (dez)</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 xml:space="preserve">Regime de Contratação: Os serviços serão executados sob o </w:t>
      </w:r>
      <w:r>
        <w:rPr>
          <w:rFonts w:hint="default" w:ascii="Arial" w:hAnsi="Arial" w:cs="Arial"/>
          <w:sz w:val="18"/>
          <w:szCs w:val="18"/>
          <w:lang w:val="pt-BR"/>
        </w:rPr>
        <w:t>regime de contratação semi-integrada,</w:t>
      </w:r>
      <w:r>
        <w:rPr>
          <w:rFonts w:hint="default" w:ascii="Arial" w:hAnsi="Arial" w:cs="Arial"/>
          <w:sz w:val="18"/>
          <w:szCs w:val="18"/>
        </w:rPr>
        <w:t xml:space="preserv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2E69090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sz w:val="18"/>
          <w:szCs w:val="18"/>
          <w:lang w:val="pt-BR"/>
        </w:rPr>
      </w:pPr>
      <w:r>
        <w:rPr>
          <w:rFonts w:hint="default"/>
          <w:sz w:val="18"/>
          <w:szCs w:val="18"/>
          <w:lang w:val="pt-BR"/>
        </w:rPr>
        <w:t>7.1.46 A empresa deverá atender conforme todos os projetos aprovados e disponibilizados no edital, incluindo o projeto estrutural.</w:t>
      </w:r>
    </w:p>
    <w:p w14:paraId="2289284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sz w:val="18"/>
          <w:szCs w:val="18"/>
          <w:lang w:val="pt-BR"/>
        </w:rPr>
      </w:pP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10.7.8 O fiscal do contrato definido pelo Secretário de Obras é o Reinaldo Manoel dos Santos </w:t>
      </w:r>
      <w:r>
        <w:rPr>
          <w:rFonts w:hint="default" w:ascii="Arial" w:hAnsi="Arial"/>
          <w:b w:val="0"/>
          <w:bCs w:val="0"/>
          <w:color w:val="auto"/>
          <w:sz w:val="18"/>
          <w:szCs w:val="18"/>
          <w:lang w:val="pt-BR"/>
        </w:rPr>
        <w:t>CREA-RJ:83104257/D</w:t>
      </w:r>
      <w:r>
        <w:rPr>
          <w:rFonts w:hint="default" w:ascii="Arial" w:hAnsi="Arial" w:cs="Arial"/>
          <w:b w:val="0"/>
          <w:bCs w:val="0"/>
          <w:color w:val="auto"/>
          <w:sz w:val="18"/>
          <w:szCs w:val="18"/>
          <w:lang w:val="pt-BR"/>
        </w:rPr>
        <w:t>, engenheiro civil conforme ofício 085/2025 do Secretário Municipal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7AF7C14A">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Sicor Leste</w:t>
      </w:r>
      <w:r>
        <w:rPr>
          <w:rFonts w:hint="default" w:ascii="Arial" w:hAnsi="Arial" w:cs="Arial"/>
          <w:color w:val="auto"/>
          <w:sz w:val="18"/>
          <w:szCs w:val="18"/>
          <w:lang w:val="pt-BR"/>
        </w:rPr>
        <w:t xml:space="preserve"> -</w:t>
      </w:r>
      <w:r>
        <w:rPr>
          <w:rFonts w:hint="default" w:cs="Arial"/>
          <w:color w:val="auto"/>
          <w:sz w:val="18"/>
          <w:szCs w:val="18"/>
          <w:lang w:val="pt-BR"/>
        </w:rPr>
        <w:t xml:space="preserve"> Outubro de 2024, SINAPI MG - Novembro de 2024, Sudecap Outubro de 2024, SBC JFA MG Janeiro de 2025</w:t>
      </w:r>
    </w:p>
    <w:p w14:paraId="3B406747">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60A423F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das Unidades de Saúde - Obras e instalações</w:t>
      </w:r>
    </w:p>
    <w:p w14:paraId="2D5612C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 xml:space="preserve">Ficha 724 - Recurso 1.621.000.0000.000 </w:t>
      </w:r>
    </w:p>
    <w:p w14:paraId="29D1B826">
      <w:pPr>
        <w:spacing w:line="240" w:lineRule="auto"/>
        <w:jc w:val="both"/>
        <w:rPr>
          <w:rFonts w:hint="default" w:ascii="Arial" w:hAnsi="Arial" w:cs="Arial"/>
          <w:color w:val="000000" w:themeColor="text1"/>
          <w:sz w:val="18"/>
          <w:szCs w:val="18"/>
          <w:lang w:val="pt-BR"/>
          <w14:textFill>
            <w14:solidFill>
              <w14:schemeClr w14:val="tx1"/>
            </w14:solidFill>
          </w14:textFill>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22"/>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1A8D594B">
      <w:pPr>
        <w:jc w:val="both"/>
        <w:rPr>
          <w:rFonts w:hint="default" w:ascii="Arial" w:hAnsi="Arial" w:cs="Arial" w:eastAsiaTheme="minorHAnsi"/>
          <w:sz w:val="18"/>
          <w:szCs w:val="18"/>
        </w:rPr>
      </w:pPr>
    </w:p>
    <w:p w14:paraId="33B6F81B">
      <w:pPr>
        <w:jc w:val="both"/>
        <w:rPr>
          <w:rFonts w:hint="default" w:ascii="Arial" w:hAnsi="Arial" w:cs="Arial" w:eastAsiaTheme="minorHAnsi"/>
          <w:sz w:val="18"/>
          <w:szCs w:val="18"/>
        </w:rPr>
      </w:pP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E4C1D83">
      <w:pPr>
        <w:jc w:val="both"/>
        <w:rPr>
          <w:rFonts w:ascii="Arial" w:hAnsi="Arial" w:cs="Arial"/>
          <w:b/>
          <w:bCs/>
          <w:sz w:val="26"/>
          <w:szCs w:val="26"/>
        </w:rPr>
      </w:pPr>
    </w:p>
    <w:p w14:paraId="3C43D98F">
      <w:pPr>
        <w:jc w:val="both"/>
        <w:rPr>
          <w:rFonts w:ascii="Arial" w:hAnsi="Arial" w:cs="Arial"/>
          <w:b/>
          <w:bCs/>
          <w:sz w:val="26"/>
          <w:szCs w:val="26"/>
        </w:rPr>
      </w:pPr>
    </w:p>
    <w:p w14:paraId="5A1B7467">
      <w:pPr>
        <w:jc w:val="center"/>
        <w:rPr>
          <w:rFonts w:ascii="Arial" w:hAnsi="Arial" w:cs="Arial"/>
          <w:b/>
          <w:bCs/>
          <w:sz w:val="26"/>
          <w:szCs w:val="26"/>
        </w:rPr>
      </w:pPr>
    </w:p>
    <w:p w14:paraId="40F556C3">
      <w:pPr>
        <w:jc w:val="center"/>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12792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76CFCB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698ED0DC">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195EF740">
      <w:pPr>
        <w:jc w:val="center"/>
        <w:rPr>
          <w:rFonts w:ascii="Arial" w:hAnsi="Arial" w:cs="Arial"/>
          <w:b/>
          <w:bCs/>
          <w:color w:val="auto"/>
          <w:sz w:val="20"/>
          <w:szCs w:val="20"/>
        </w:rPr>
      </w:pPr>
    </w:p>
    <w:p w14:paraId="17E34C3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7F51621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2F4615C5">
      <w:pPr>
        <w:jc w:val="center"/>
        <w:rPr>
          <w:rFonts w:hint="default" w:ascii="Arial" w:hAnsi="Arial" w:cs="Arial"/>
          <w:b/>
          <w:bCs/>
          <w:color w:val="auto"/>
          <w:sz w:val="20"/>
          <w:szCs w:val="20"/>
          <w:lang w:val="pt-BR"/>
        </w:rPr>
      </w:pPr>
    </w:p>
    <w:p w14:paraId="6B87A070">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215EED8F">
      <w:pPr>
        <w:jc w:val="both"/>
        <w:rPr>
          <w:rFonts w:ascii="Arial" w:hAnsi="Arial" w:cs="Arial"/>
          <w:b/>
          <w:bCs/>
          <w:sz w:val="26"/>
          <w:szCs w:val="26"/>
        </w:rPr>
      </w:pPr>
    </w:p>
    <w:p w14:paraId="2E9F9B69">
      <w:pPr>
        <w:jc w:val="center"/>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0F973B3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75EE6DB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63FC88CA">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788EB2F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5D38C2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563DADE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166FB804">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200365B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3C30B18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015BE83E">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7699280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715FD06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48DB99CE">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299AF15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1F64B19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148E10D3">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3BD09B7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4651A67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745E2C79">
      <w:pPr>
        <w:spacing w:line="200" w:lineRule="atLeast"/>
        <w:jc w:val="center"/>
        <w:rPr>
          <w:rFonts w:ascii="Garamond" w:hAnsi="Garamond"/>
          <w:b/>
          <w:lang w:eastAsia="ar-SA"/>
        </w:rPr>
      </w:pPr>
    </w:p>
    <w:p w14:paraId="6591B4BC">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22B5440D">
      <w:pPr>
        <w:jc w:val="center"/>
        <w:rPr>
          <w:rFonts w:ascii="Arial" w:hAnsi="Arial" w:cs="Arial"/>
          <w:b/>
          <w:bCs/>
          <w:sz w:val="26"/>
          <w:szCs w:val="26"/>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5B12225">
      <w:pPr>
        <w:jc w:val="center"/>
        <w:rPr>
          <w:rFonts w:hint="default" w:ascii="Arial" w:hAnsi="Arial" w:cs="Arial"/>
          <w:b/>
          <w:bCs/>
          <w:sz w:val="26"/>
          <w:szCs w:val="26"/>
          <w:lang w:val="pt-BR"/>
        </w:rPr>
      </w:pPr>
    </w:p>
    <w:p w14:paraId="73B6F7B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029/2025</w:t>
      </w:r>
    </w:p>
    <w:p w14:paraId="21E9FD5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006/2025</w:t>
      </w:r>
    </w:p>
    <w:p w14:paraId="7A5F8915">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029/2025</w:t>
      </w:r>
      <w:r>
        <w:rPr>
          <w:rFonts w:hint="default" w:ascii="Arial" w:hAnsi="Arial" w:cs="Arial"/>
          <w:sz w:val="20"/>
          <w:szCs w:val="20"/>
        </w:rPr>
        <w:t>, Concorrência Pública n°</w:t>
      </w:r>
      <w:r>
        <w:rPr>
          <w:rFonts w:hint="default" w:ascii="Arial" w:hAnsi="Arial" w:cs="Arial"/>
          <w:sz w:val="20"/>
          <w:szCs w:val="20"/>
          <w:lang w:val="pt-BR"/>
        </w:rPr>
        <w:t xml:space="preserve"> 006/2025 </w:t>
      </w:r>
      <w:r>
        <w:rPr>
          <w:rFonts w:hint="default" w:ascii="Arial" w:hAnsi="Arial" w:cs="Arial"/>
          <w:sz w:val="20"/>
          <w:szCs w:val="20"/>
        </w:rPr>
        <w:t>que:</w:t>
      </w:r>
    </w:p>
    <w:p w14:paraId="092FE327">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029/2025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96F8DC9"/>
    <w:multiLevelType w:val="singleLevel"/>
    <w:tmpl w:val="396F8DC9"/>
    <w:lvl w:ilvl="0" w:tentative="0">
      <w:start w:val="15"/>
      <w:numFmt w:val="decimal"/>
      <w:suff w:val="space"/>
      <w:lvlText w:val="%1."/>
      <w:lvlJc w:val="left"/>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18"/>
  </w:num>
  <w:num w:numId="3">
    <w:abstractNumId w:val="20"/>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19"/>
  </w:num>
  <w:num w:numId="10">
    <w:abstractNumId w:val="7"/>
  </w:num>
  <w:num w:numId="11">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5"/>
  </w:num>
  <w:num w:numId="15">
    <w:abstractNumId w:val="17"/>
  </w:num>
  <w:num w:numId="16">
    <w:abstractNumId w:val="0"/>
  </w:num>
  <w:num w:numId="17">
    <w:abstractNumId w:val="15"/>
  </w:num>
  <w:num w:numId="18">
    <w:abstractNumId w:val="21"/>
  </w:num>
  <w:num w:numId="19">
    <w:abstractNumId w:val="10"/>
  </w:num>
  <w:num w:numId="20">
    <w:abstractNumId w:val="2"/>
  </w:num>
  <w:num w:numId="21">
    <w:abstractNumId w:val="4"/>
  </w:num>
  <w:num w:numId="22">
    <w:abstractNumId w:val="1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27C35"/>
    <w:rsid w:val="01171DDE"/>
    <w:rsid w:val="025E6589"/>
    <w:rsid w:val="02D149AD"/>
    <w:rsid w:val="03E35AEF"/>
    <w:rsid w:val="04521626"/>
    <w:rsid w:val="048B2A85"/>
    <w:rsid w:val="05197D6A"/>
    <w:rsid w:val="052109D9"/>
    <w:rsid w:val="05F0454A"/>
    <w:rsid w:val="06A40338"/>
    <w:rsid w:val="071B739D"/>
    <w:rsid w:val="0A005FFD"/>
    <w:rsid w:val="0A1A36A0"/>
    <w:rsid w:val="0C0E6A1A"/>
    <w:rsid w:val="0C2D57D1"/>
    <w:rsid w:val="0C925B2B"/>
    <w:rsid w:val="0C9B62D5"/>
    <w:rsid w:val="0CCA5BBD"/>
    <w:rsid w:val="0D084D71"/>
    <w:rsid w:val="0F085E08"/>
    <w:rsid w:val="106C3100"/>
    <w:rsid w:val="10E21881"/>
    <w:rsid w:val="10E32514"/>
    <w:rsid w:val="11670D99"/>
    <w:rsid w:val="116D0724"/>
    <w:rsid w:val="11CF2D47"/>
    <w:rsid w:val="11F10A65"/>
    <w:rsid w:val="121455AF"/>
    <w:rsid w:val="135426A3"/>
    <w:rsid w:val="13E05FAA"/>
    <w:rsid w:val="142957EC"/>
    <w:rsid w:val="147E4D12"/>
    <w:rsid w:val="165D633E"/>
    <w:rsid w:val="167823EB"/>
    <w:rsid w:val="169A7F07"/>
    <w:rsid w:val="16E24019"/>
    <w:rsid w:val="17AF5CEB"/>
    <w:rsid w:val="17B752F6"/>
    <w:rsid w:val="19100DAA"/>
    <w:rsid w:val="1A7651FA"/>
    <w:rsid w:val="1ABE37D8"/>
    <w:rsid w:val="1AD31D10"/>
    <w:rsid w:val="1B65127F"/>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073ABF"/>
    <w:rsid w:val="30704386"/>
    <w:rsid w:val="31832F49"/>
    <w:rsid w:val="32854BC9"/>
    <w:rsid w:val="32940808"/>
    <w:rsid w:val="33666E12"/>
    <w:rsid w:val="33BC18EF"/>
    <w:rsid w:val="33C66AF6"/>
    <w:rsid w:val="34052E4D"/>
    <w:rsid w:val="3427319D"/>
    <w:rsid w:val="34750D1D"/>
    <w:rsid w:val="35904CED"/>
    <w:rsid w:val="35EE5AE6"/>
    <w:rsid w:val="36153AC8"/>
    <w:rsid w:val="36E91DC4"/>
    <w:rsid w:val="36FF0C93"/>
    <w:rsid w:val="38376F0C"/>
    <w:rsid w:val="3876120E"/>
    <w:rsid w:val="38932BBD"/>
    <w:rsid w:val="398273A0"/>
    <w:rsid w:val="3A782F7C"/>
    <w:rsid w:val="3AD8429B"/>
    <w:rsid w:val="3AE54320"/>
    <w:rsid w:val="3B0C59EE"/>
    <w:rsid w:val="3B67381A"/>
    <w:rsid w:val="3BE61375"/>
    <w:rsid w:val="3C885550"/>
    <w:rsid w:val="3D183A50"/>
    <w:rsid w:val="3EB475C0"/>
    <w:rsid w:val="3F075458"/>
    <w:rsid w:val="3FD91DCF"/>
    <w:rsid w:val="4060552B"/>
    <w:rsid w:val="40915CFA"/>
    <w:rsid w:val="417501F3"/>
    <w:rsid w:val="418C2A9A"/>
    <w:rsid w:val="434A3CF5"/>
    <w:rsid w:val="43985420"/>
    <w:rsid w:val="44D46DC0"/>
    <w:rsid w:val="46681314"/>
    <w:rsid w:val="46B76E83"/>
    <w:rsid w:val="46BE0D9D"/>
    <w:rsid w:val="470518CB"/>
    <w:rsid w:val="477A4167"/>
    <w:rsid w:val="481B6ADB"/>
    <w:rsid w:val="48344C94"/>
    <w:rsid w:val="48E15443"/>
    <w:rsid w:val="48F30D3D"/>
    <w:rsid w:val="494E2350"/>
    <w:rsid w:val="49AC016B"/>
    <w:rsid w:val="4AF906BF"/>
    <w:rsid w:val="4B7919E0"/>
    <w:rsid w:val="4B821692"/>
    <w:rsid w:val="4CC86819"/>
    <w:rsid w:val="4D5756EE"/>
    <w:rsid w:val="4E15122E"/>
    <w:rsid w:val="4E98737F"/>
    <w:rsid w:val="4F051F32"/>
    <w:rsid w:val="4F7D4FF7"/>
    <w:rsid w:val="4FDA3AB0"/>
    <w:rsid w:val="4FF91545"/>
    <w:rsid w:val="50186577"/>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E817C53"/>
    <w:rsid w:val="5F142FAC"/>
    <w:rsid w:val="5F183E1A"/>
    <w:rsid w:val="5F6219AC"/>
    <w:rsid w:val="601F6D17"/>
    <w:rsid w:val="60574F00"/>
    <w:rsid w:val="60923DFD"/>
    <w:rsid w:val="60CF2166"/>
    <w:rsid w:val="60E21BDE"/>
    <w:rsid w:val="60EF515B"/>
    <w:rsid w:val="61576B5D"/>
    <w:rsid w:val="61AE2409"/>
    <w:rsid w:val="61ED0836"/>
    <w:rsid w:val="6212532B"/>
    <w:rsid w:val="623B41B9"/>
    <w:rsid w:val="625472E1"/>
    <w:rsid w:val="62890576"/>
    <w:rsid w:val="63F5795B"/>
    <w:rsid w:val="648D429C"/>
    <w:rsid w:val="64AE039F"/>
    <w:rsid w:val="6A902988"/>
    <w:rsid w:val="6B601138"/>
    <w:rsid w:val="6B9E1E8B"/>
    <w:rsid w:val="6C4F6C96"/>
    <w:rsid w:val="6CBA368C"/>
    <w:rsid w:val="6CE6664B"/>
    <w:rsid w:val="6D473557"/>
    <w:rsid w:val="6DD714D9"/>
    <w:rsid w:val="6E114EEB"/>
    <w:rsid w:val="6E41024E"/>
    <w:rsid w:val="6F092237"/>
    <w:rsid w:val="71011F4B"/>
    <w:rsid w:val="714B3E29"/>
    <w:rsid w:val="72501D1B"/>
    <w:rsid w:val="725A39AC"/>
    <w:rsid w:val="72BC104A"/>
    <w:rsid w:val="72CF006A"/>
    <w:rsid w:val="731971E5"/>
    <w:rsid w:val="741373FD"/>
    <w:rsid w:val="750C7615"/>
    <w:rsid w:val="76EC40F8"/>
    <w:rsid w:val="77110C43"/>
    <w:rsid w:val="782E17BB"/>
    <w:rsid w:val="784150D0"/>
    <w:rsid w:val="78F00CAF"/>
    <w:rsid w:val="7986403E"/>
    <w:rsid w:val="7AD37490"/>
    <w:rsid w:val="7B7A61F8"/>
    <w:rsid w:val="7B9B3656"/>
    <w:rsid w:val="7B9C60C3"/>
    <w:rsid w:val="7BFF7DAB"/>
    <w:rsid w:val="7C0F6E17"/>
    <w:rsid w:val="7C567BE5"/>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3</TotalTime>
  <ScaleCrop>false</ScaleCrop>
  <LinksUpToDate>false</LinksUpToDate>
  <CharactersWithSpaces>130961</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2025-02-27T12:26:13Z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F998FF7FDF97443E8E61FE2E531D2E1F_13</vt:lpwstr>
  </property>
</Properties>
</file>