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163/2024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091/2024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90091</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068/2024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w:t>
            </w:r>
            <w:r>
              <w:rPr>
                <w:rFonts w:ascii="Arial" w:hAnsi="Arial" w:cs="Arial"/>
                <w:color w:val="000000"/>
                <w:sz w:val="22"/>
                <w:szCs w:val="22"/>
              </w:rPr>
              <w:t xml:space="preserve">r </w:t>
            </w:r>
            <w:r>
              <w:rPr>
                <w:rFonts w:hint="default" w:ascii="Arial" w:hAnsi="Arial" w:cs="Arial"/>
                <w:color w:val="000000"/>
                <w:sz w:val="22"/>
                <w:szCs w:val="22"/>
                <w:lang w:val="pt-BR"/>
              </w:rPr>
              <w:t xml:space="preserve">desconto </w:t>
            </w:r>
            <w:r>
              <w:rPr>
                <w:rFonts w:ascii="Arial" w:hAnsi="Arial" w:cs="Arial"/>
                <w:color w:val="000000"/>
                <w:sz w:val="22"/>
                <w:szCs w:val="22"/>
                <w:lang w:val="pt-BR"/>
              </w:rPr>
              <w:t>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09/01</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sz w:val="24"/>
                <w:szCs w:val="24"/>
              </w:rPr>
              <w:t>empresa especializada  na prestação de serviços de manutenção preventiva e corretiva incluindo o fornecimento de peça sobre a tabela de preço genuína da Fabricante/ Montadora (Peças e acessórios) da marca do veículo, ou originais de fábrica em  atendimento a frota de veículos (TIPO MOTOCICLETA) de diversas Secretarias da Prefeitura Municipal de Cataguases-MG</w:t>
            </w:r>
            <w:r>
              <w:rPr>
                <w:rFonts w:hint="default" w:ascii="Arial" w:hAnsi="Arial" w:cs="Arial"/>
                <w:b w:val="0"/>
                <w:bCs w:val="0"/>
                <w:color w:val="000000"/>
                <w:sz w:val="24"/>
                <w:szCs w:val="24"/>
                <w:lang w:val="pt-BR"/>
              </w:rPr>
              <w:t>.</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52.159,20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27E1B780">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both"/>
        <w:rPr>
          <w:rFonts w:ascii="Arial" w:hAnsi="Arial" w:cs="Arial"/>
          <w:sz w:val="20"/>
        </w:rPr>
      </w:pPr>
    </w:p>
    <w:p w14:paraId="1B389F9B">
      <w:pPr>
        <w:jc w:val="center"/>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091/2024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163/2024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09/01/2025</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163/2024</w:t>
      </w:r>
      <w:r>
        <w:rPr>
          <w:rFonts w:hint="default" w:ascii="Arial" w:hAnsi="Arial" w:cs="Arial"/>
          <w:sz w:val="18"/>
          <w:szCs w:val="18"/>
        </w:rPr>
        <w:t xml:space="preserve"> para Sistema de Registro de Preços n° </w:t>
      </w:r>
      <w:r>
        <w:rPr>
          <w:rFonts w:hint="default" w:ascii="Arial" w:hAnsi="Arial" w:cs="Arial"/>
          <w:sz w:val="18"/>
          <w:szCs w:val="18"/>
          <w:lang w:val="pt-BR"/>
        </w:rPr>
        <w:t>068/2024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091/2024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desconto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sz w:val="18"/>
          <w:szCs w:val="18"/>
        </w:rPr>
        <w:t>empresa especializada  na prestação de serviços de manutenção preventiva e corretiva incluindo o fornecimento de peça sobre a tabela de preço genuína da Fabricante/ Montadora (Peças e acessórios) da marca do veículo, ou originais de fábrica em  atendimento a frota de veículos (TIPO MOTOCICLETA) de diversas Secretarias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sz w:val="18"/>
          <w:szCs w:val="18"/>
        </w:rPr>
        <w:t>empresa especializada  na prestação de serviços de manutenção preventiva e corretiva incluindo o fornecimento de peça sobre a tabela de preço genuína da Fabricante/ Montadora (Peças e acessórios) da marca do veículo, ou originais de fábrica em  atendimento a frota de veículos (TIPO MOTOCICLETA)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4D768A9">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02.09 – Fundo Municipal de Saúde.</w:t>
      </w:r>
    </w:p>
    <w:p w14:paraId="3C30E816">
      <w:pPr>
        <w:pStyle w:val="279"/>
        <w:numPr>
          <w:ilvl w:val="0"/>
          <w:numId w:val="0"/>
        </w:numPr>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10.302.0013.2.106 – Gestão da Vigilância Epidemiológica</w:t>
      </w:r>
    </w:p>
    <w:p w14:paraId="03BB9718">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3.3.90.30.00.00.00.00 00.01.0600 - Material de Consumo (Ficha 767)</w:t>
      </w:r>
    </w:p>
    <w:p w14:paraId="5C7D7273">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3.3.90.39.00.00.00.00 00.01.0600 - Outros Serviços de Terceiros - Pessoa Jurídica (Ficha 773)</w:t>
      </w:r>
    </w:p>
    <w:p w14:paraId="166AE215">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02.12 – Secretaria de Obras.</w:t>
      </w:r>
    </w:p>
    <w:p w14:paraId="35D4C8C6">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02.13 – Secretaria de Serviços Urbanos. </w:t>
      </w:r>
    </w:p>
    <w:p w14:paraId="7E434C2B">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02.15 – Secretaria de Agricultura e Meio Ambiente. </w:t>
      </w:r>
    </w:p>
    <w:p w14:paraId="797B0236">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lotes,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89161BD">
      <w:pPr>
        <w:pStyle w:val="304"/>
        <w:spacing w:before="0" w:after="0" w:line="360" w:lineRule="auto"/>
        <w:rPr>
          <w:rFonts w:hint="default" w:ascii="Arial" w:hAnsi="Arial" w:cs="Arial"/>
          <w:sz w:val="18"/>
          <w:szCs w:val="18"/>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ascii="Arial" w:hAnsi="Arial" w:cs="Arial"/>
          <w:sz w:val="18"/>
          <w:szCs w:val="18"/>
          <w:lang w:val="pt-BR"/>
        </w:rPr>
        <w:t>aior desconto</w:t>
      </w:r>
      <w:r>
        <w:rPr>
          <w:rFonts w:hint="default" w:ascii="Arial" w:hAnsi="Arial" w:cs="Arial"/>
          <w:sz w:val="18"/>
          <w:szCs w:val="18"/>
        </w:rPr>
        <w:t>;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90891CF">
      <w:pPr>
        <w:pStyle w:val="304"/>
        <w:numPr>
          <w:ilvl w:val="1"/>
          <w:numId w:val="5"/>
        </w:numPr>
        <w:tabs>
          <w:tab w:val="left" w:pos="993"/>
        </w:tabs>
        <w:spacing w:before="0" w:after="0" w:line="360" w:lineRule="auto"/>
        <w:ind w:left="0" w:firstLine="0"/>
        <w:rPr>
          <w:rFonts w:hint="default" w:ascii="Arial" w:hAnsi="Arial" w:cs="Arial"/>
          <w:b/>
          <w:bCs/>
          <w:sz w:val="18"/>
          <w:szCs w:val="18"/>
          <w:u w:val="single"/>
        </w:rPr>
      </w:pPr>
      <w:r>
        <w:rPr>
          <w:rFonts w:hint="default" w:cs="Arial"/>
          <w:b/>
          <w:bCs/>
          <w:sz w:val="18"/>
          <w:szCs w:val="18"/>
          <w:u w:val="single"/>
          <w:lang w:val="pt-BR"/>
        </w:rPr>
        <w:t>Visita técnica ou vistoria: conforme termo de referência</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 (um por cento).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10"/>
        </w:numPr>
        <w:tabs>
          <w:tab w:val="left" w:pos="709"/>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6A07773D">
      <w:pPr>
        <w:tabs>
          <w:tab w:val="left" w:pos="993"/>
        </w:tabs>
        <w:jc w:val="both"/>
        <w:rPr>
          <w:rFonts w:hint="default" w:ascii="Arial" w:hAnsi="Arial" w:cs="Arial"/>
          <w:bCs/>
          <w:sz w:val="18"/>
          <w:szCs w:val="18"/>
        </w:rPr>
      </w:pP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4F954185">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sz w:val="18"/>
          <w:szCs w:val="18"/>
        </w:rPr>
      </w:pPr>
      <w:r>
        <w:rPr>
          <w:rFonts w:hint="default" w:ascii="Arial" w:hAnsi="Arial" w:cs="Arial"/>
          <w:sz w:val="18"/>
          <w:szCs w:val="18"/>
          <w:lang w:val="pt-BR"/>
        </w:rPr>
        <w:t>Atestado de c</w:t>
      </w:r>
      <w:r>
        <w:rPr>
          <w:rFonts w:hint="default" w:ascii="Arial" w:hAnsi="Arial" w:cs="Arial"/>
          <w:sz w:val="18"/>
          <w:szCs w:val="18"/>
        </w:rPr>
        <w:t>omprovação de capacitação técnica</w:t>
      </w:r>
      <w:r>
        <w:rPr>
          <w:rFonts w:hint="default" w:ascii="Arial" w:hAnsi="Arial" w:cs="Arial"/>
          <w:spacing w:val="1"/>
          <w:sz w:val="18"/>
          <w:szCs w:val="18"/>
        </w:rPr>
        <w:t xml:space="preserve"> </w:t>
      </w:r>
      <w:r>
        <w:rPr>
          <w:rFonts w:hint="default" w:ascii="Arial" w:hAnsi="Arial" w:cs="Arial"/>
          <w:sz w:val="18"/>
          <w:szCs w:val="18"/>
        </w:rPr>
        <w:t>das interessadas em participar do certame podendo ser emitido por pessoa jurídica de direito público (com identificação legível do responsável que assinou e cargo) e/ou privado (com identificação legível do responsável que assinou e cargo</w:t>
      </w:r>
      <w:r>
        <w:rPr>
          <w:rFonts w:hint="default" w:ascii="Arial" w:hAnsi="Arial" w:cs="Arial"/>
          <w:sz w:val="18"/>
          <w:szCs w:val="18"/>
          <w:lang w:val="pt-BR"/>
        </w:rPr>
        <w:t>).</w:t>
      </w:r>
    </w:p>
    <w:p w14:paraId="68E340C3">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val="0"/>
          <w:bCs/>
          <w:sz w:val="18"/>
          <w:szCs w:val="18"/>
        </w:rPr>
      </w:pPr>
      <w:r>
        <w:rPr>
          <w:rFonts w:ascii="Arial" w:hAnsi="Arial" w:cs="Arial"/>
          <w:b w:val="0"/>
          <w:bCs/>
          <w:color w:val="000000"/>
          <w:sz w:val="18"/>
          <w:szCs w:val="18"/>
        </w:rPr>
        <w:t xml:space="preserve">Para melhor acompanhamento dos serviços, e redução de custos de deslocamentos, as instalações da contratada, </w:t>
      </w:r>
      <w:r>
        <w:rPr>
          <w:rFonts w:ascii="Arial" w:hAnsi="Arial" w:cs="Arial"/>
          <w:b/>
          <w:bCs w:val="0"/>
          <w:color w:val="000000"/>
          <w:sz w:val="18"/>
          <w:szCs w:val="18"/>
          <w:u w:val="single"/>
        </w:rPr>
        <w:t xml:space="preserve">deverão se localizar a uma distância máxima de 15 km </w:t>
      </w:r>
      <w:r>
        <w:rPr>
          <w:rFonts w:ascii="Arial" w:hAnsi="Arial" w:cs="Arial"/>
          <w:b w:val="0"/>
          <w:bCs/>
          <w:color w:val="000000"/>
          <w:sz w:val="18"/>
          <w:szCs w:val="18"/>
        </w:rPr>
        <w:t xml:space="preserve">da sede da Prefeitura Municipal de Cataguases. </w:t>
      </w:r>
      <w:r>
        <w:rPr>
          <w:rFonts w:ascii="Arial" w:hAnsi="Arial" w:cs="Arial"/>
          <w:b w:val="0"/>
          <w:bCs/>
          <w:sz w:val="18"/>
          <w:szCs w:val="18"/>
        </w:rPr>
        <w:t xml:space="preserve">A exigência referente à localização se faz necessária tendo em vista a obtenção da proposta mais vantajosa para esta Secretaria pois, se a distância entre a sede do Município e a Contratada for maior que a determinada, a vantagem do “menor preço/maior desconto” ficará prejudicada em razão do aumento do custo com o deslocamento da frota. </w:t>
      </w:r>
    </w:p>
    <w:p w14:paraId="7A760FFB">
      <w:pPr>
        <w:tabs>
          <w:tab w:val="left" w:pos="993"/>
        </w:tabs>
        <w:spacing w:line="360" w:lineRule="auto"/>
        <w:jc w:val="both"/>
        <w:rPr>
          <w:rFonts w:hint="default" w:ascii="Arial" w:hAnsi="Arial" w:cs="Arial"/>
          <w:b/>
          <w:sz w:val="18"/>
          <w:szCs w:val="18"/>
          <w:lang w:val="pt-BR"/>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9867F1E">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4A2F760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0B2495A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3D4B9011">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w:t>
      </w:r>
      <w:r>
        <w:rPr>
          <w:rFonts w:hint="default" w:ascii="Arial" w:hAnsi="Arial" w:cs="Arial"/>
          <w:sz w:val="18"/>
          <w:szCs w:val="18"/>
          <w:lang w:val="pt-BR"/>
        </w:rPr>
        <w:t>.3</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6245DC43">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b/>
          <w:bCs/>
          <w:sz w:val="18"/>
          <w:szCs w:val="18"/>
        </w:rPr>
      </w:pPr>
      <w:r>
        <w:rPr>
          <w:rFonts w:hint="default" w:ascii="Arial" w:hAnsi="Arial" w:cs="Arial"/>
          <w:b/>
          <w:bCs/>
          <w:sz w:val="18"/>
          <w:szCs w:val="18"/>
          <w:lang w:val="pt-BR"/>
        </w:rPr>
        <w:t xml:space="preserve">8.24 </w:t>
      </w:r>
      <w:r>
        <w:rPr>
          <w:rFonts w:hint="default" w:ascii="Arial" w:hAnsi="Arial" w:cs="Arial"/>
          <w:b/>
          <w:bCs/>
          <w:sz w:val="18"/>
          <w:szCs w:val="18"/>
        </w:rPr>
        <w:t>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pela a empresa ou órgão fornecedor do mesmo.</w:t>
      </w:r>
    </w:p>
    <w:p w14:paraId="7FF834FC">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b/>
          <w:bCs/>
          <w:sz w:val="18"/>
          <w:szCs w:val="18"/>
          <w:lang w:val="pt-BR"/>
        </w:rPr>
      </w:pPr>
      <w:r>
        <w:rPr>
          <w:rFonts w:hint="default" w:ascii="Arial" w:hAnsi="Arial" w:cs="Arial"/>
          <w:b/>
          <w:bCs/>
          <w:sz w:val="18"/>
          <w:szCs w:val="18"/>
          <w:lang w:val="pt-BR"/>
        </w:rPr>
        <w:t>8.24.1 A análise da comprovação ficará a cargo dos fiscais.</w:t>
      </w:r>
    </w:p>
    <w:p w14:paraId="215D31A8">
      <w:pPr>
        <w:tabs>
          <w:tab w:val="left" w:pos="993"/>
        </w:tabs>
        <w:spacing w:line="360" w:lineRule="auto"/>
        <w:jc w:val="both"/>
        <w:rPr>
          <w:rFonts w:hint="default" w:ascii="Arial" w:hAnsi="Arial" w:cs="Arial"/>
          <w:sz w:val="18"/>
          <w:szCs w:val="18"/>
        </w:rPr>
      </w:pPr>
      <w:r>
        <w:rPr>
          <w:rFonts w:hint="default" w:ascii="Arial" w:hAnsi="Arial" w:cs="Arial"/>
          <w:b/>
          <w:sz w:val="18"/>
          <w:szCs w:val="18"/>
          <w:lang w:val="pt-BR"/>
        </w:rPr>
        <w:t xml:space="preserve">8.25  </w:t>
      </w:r>
      <w:r>
        <w:rPr>
          <w:rFonts w:hint="default" w:ascii="Arial" w:hAnsi="Arial" w:cs="Arial"/>
          <w:b/>
          <w:sz w:val="18"/>
          <w:szCs w:val="18"/>
        </w:rPr>
        <w:t xml:space="preserve">Para melhor acompanhamento dos serviços, e redução de custos de deslocamentos, as instalações da contratada, deverão se localizar a uma distância máxima de </w:t>
      </w:r>
      <w:r>
        <w:rPr>
          <w:rFonts w:hint="default" w:ascii="Arial" w:hAnsi="Arial" w:cs="Arial"/>
          <w:b/>
          <w:sz w:val="18"/>
          <w:szCs w:val="18"/>
          <w:lang w:val="pt-BR"/>
        </w:rPr>
        <w:t>15</w:t>
      </w:r>
      <w:r>
        <w:rPr>
          <w:rFonts w:hint="default" w:ascii="Arial" w:hAnsi="Arial" w:cs="Arial"/>
          <w:b/>
          <w:sz w:val="18"/>
          <w:szCs w:val="18"/>
        </w:rPr>
        <w:t xml:space="preserve"> km da sede da Prefeitura Municipal de Cataguases. </w:t>
      </w:r>
      <w:r>
        <w:rPr>
          <w:rFonts w:hint="default" w:ascii="Arial" w:hAnsi="Arial" w:cs="Arial"/>
          <w:sz w:val="18"/>
          <w:szCs w:val="18"/>
        </w:rPr>
        <w:t xml:space="preserve">A exigência referente à localização se faz necessária tendo em vista a obtenção da proposta mais vantajosa para </w:t>
      </w:r>
      <w:r>
        <w:rPr>
          <w:rFonts w:hint="default" w:ascii="Arial" w:hAnsi="Arial" w:cs="Arial"/>
          <w:sz w:val="18"/>
          <w:szCs w:val="18"/>
          <w:lang w:val="pt-BR"/>
        </w:rPr>
        <w:t>a Prefeitura</w:t>
      </w:r>
      <w:r>
        <w:rPr>
          <w:rFonts w:hint="default" w:ascii="Arial" w:hAnsi="Arial" w:cs="Arial"/>
          <w:sz w:val="18"/>
          <w:szCs w:val="18"/>
        </w:rPr>
        <w:t>, pois, se a distância entre a sede do Município e a Contratada for maior que a determinada, a vantagem do “menor preço” ficará prejudicada em razão do aumento do custo com o deslocamento da frota. Conforme pesquisa realizada há no raio estabelecido oficinas em número suficiente não restando comprometido o princípio da competitividade.</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2360DE92">
      <w:pPr>
        <w:pStyle w:val="304"/>
        <w:numPr>
          <w:ilvl w:val="1"/>
          <w:numId w:val="14"/>
        </w:numPr>
        <w:tabs>
          <w:tab w:val="left" w:pos="993"/>
        </w:tabs>
        <w:spacing w:before="0" w:after="0" w:line="360" w:lineRule="auto"/>
        <w:ind w:left="720" w:leftChars="0" w:hanging="720" w:firstLineChars="0"/>
        <w:rPr>
          <w:rFonts w:hint="default" w:ascii="Arial" w:hAnsi="Arial" w:cs="Arial"/>
          <w:sz w:val="18"/>
          <w:szCs w:val="18"/>
        </w:rPr>
      </w:pPr>
      <w:r>
        <w:rPr>
          <w:rFonts w:hint="default" w:ascii="Arial" w:hAnsi="Arial" w:cs="Arial"/>
          <w:sz w:val="18"/>
          <w:szCs w:val="18"/>
        </w:rPr>
        <w:t>Os recursos deverão ser encaminhados em campo próprio do sistema.</w:t>
      </w:r>
    </w:p>
    <w:p w14:paraId="2E015DD4">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6A46FE9A">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5D74B3B8">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52C880C">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1F0E4DDC">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64970F6A">
      <w:pPr>
        <w:tabs>
          <w:tab w:val="left" w:pos="567"/>
        </w:tabs>
        <w:jc w:val="both"/>
        <w:rPr>
          <w:rFonts w:hint="default" w:ascii="Arial" w:hAnsi="Arial" w:cs="Arial"/>
          <w:sz w:val="18"/>
          <w:szCs w:val="18"/>
        </w:rPr>
      </w:pPr>
    </w:p>
    <w:p w14:paraId="287B2013">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nota de empenho e contrato futuro</w:t>
      </w:r>
      <w:r>
        <w:rPr>
          <w:rFonts w:hint="default" w:ascii="Arial" w:hAnsi="Arial" w:cs="Arial"/>
          <w:sz w:val="18"/>
          <w:szCs w:val="18"/>
        </w:rPr>
        <w:t>, pela área competente da Prefeitura Municipal de Cataguases, sendo:</w:t>
      </w:r>
    </w:p>
    <w:p w14:paraId="38158B9F">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02.09 – Fundo Municipal de Saúde.</w:t>
      </w:r>
    </w:p>
    <w:p w14:paraId="6C0EF07A">
      <w:pPr>
        <w:pStyle w:val="279"/>
        <w:numPr>
          <w:ilvl w:val="0"/>
          <w:numId w:val="0"/>
        </w:numPr>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10.302.0013.2.106 – Gestão da Vigilância Epidemiológica</w:t>
      </w:r>
    </w:p>
    <w:p w14:paraId="53174689">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3.3.90.30.00.00.00.00 00.01.0600 - Material de Consumo (Ficha 767)</w:t>
      </w:r>
    </w:p>
    <w:p w14:paraId="71F0B4A5">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3.3.90.39.00.00.00.00 00.01.0600 - Outros Serviços de Terceiros - Pessoa Jurídica (Ficha 773)</w:t>
      </w:r>
    </w:p>
    <w:p w14:paraId="41876679">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02.12 – Secretaria de Obras.</w:t>
      </w:r>
    </w:p>
    <w:p w14:paraId="422447AE">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02.13 – Secretaria de Serviços Urbanos. </w:t>
      </w:r>
    </w:p>
    <w:p w14:paraId="38EA3BAF">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02.15 – Secretaria de Agricultura e Meio Ambiente. </w:t>
      </w:r>
    </w:p>
    <w:p w14:paraId="397843D2">
      <w:pPr>
        <w:pStyle w:val="221"/>
        <w:tabs>
          <w:tab w:val="left" w:pos="851"/>
          <w:tab w:val="left" w:pos="993"/>
        </w:tabs>
        <w:spacing w:line="360" w:lineRule="auto"/>
        <w:ind w:left="0"/>
        <w:jc w:val="both"/>
        <w:rPr>
          <w:rFonts w:hint="default" w:ascii="Arial" w:hAnsi="Arial" w:cs="Arial"/>
          <w:sz w:val="18"/>
          <w:szCs w:val="18"/>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bCs/>
          <w:color w:val="000000"/>
          <w:sz w:val="18"/>
          <w:szCs w:val="18"/>
        </w:rPr>
      </w:pPr>
      <w:r>
        <w:rPr>
          <w:rFonts w:hint="default" w:ascii="Arial" w:hAnsi="Arial" w:cs="Arial"/>
          <w:b/>
          <w:bCs/>
          <w:sz w:val="18"/>
          <w:szCs w:val="18"/>
        </w:rPr>
        <w:t xml:space="preserve">16.7 O valor estimado para contratação é de R$ </w:t>
      </w:r>
      <w:r>
        <w:rPr>
          <w:rFonts w:hint="default" w:ascii="Arial" w:hAnsi="Arial" w:eastAsia="Times New Roman" w:cs="Arial"/>
          <w:b/>
          <w:bCs/>
          <w:sz w:val="18"/>
          <w:szCs w:val="18"/>
        </w:rPr>
        <w:t>52.159,20 (cinquenta e dois mil, cento e cinquenta e nove reais e vinte centavos)</w:t>
      </w:r>
      <w:r>
        <w:rPr>
          <w:rFonts w:hint="default" w:ascii="Arial" w:hAnsi="Arial" w:cs="Arial"/>
          <w:b/>
          <w:bCs/>
          <w:sz w:val="18"/>
          <w:szCs w:val="18"/>
        </w:rPr>
        <w:t xml:space="preserve">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ii"/>
      <w:bookmarkEnd w:id="29"/>
      <w:bookmarkStart w:id="30" w:name="art155v"/>
      <w:bookmarkEnd w:id="30"/>
      <w:bookmarkStart w:id="31" w:name="art155x"/>
      <w:bookmarkEnd w:id="31"/>
      <w:bookmarkStart w:id="32" w:name="art155iii"/>
      <w:bookmarkEnd w:id="32"/>
      <w:bookmarkStart w:id="33" w:name="art155vii"/>
      <w:bookmarkEnd w:id="33"/>
      <w:bookmarkStart w:id="34" w:name="art155vi"/>
      <w:bookmarkEnd w:id="34"/>
      <w:bookmarkStart w:id="35" w:name="art155ix"/>
      <w:bookmarkEnd w:id="35"/>
      <w:bookmarkStart w:id="36" w:name="art155iv"/>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7"/>
      <w:bookmarkEnd w:id="37"/>
      <w:bookmarkStart w:id="38" w:name="art156§4"/>
      <w:bookmarkEnd w:id="38"/>
      <w:bookmarkStart w:id="39" w:name="art156§6ii"/>
      <w:bookmarkEnd w:id="39"/>
      <w:bookmarkStart w:id="40" w:name="art156§3"/>
      <w:bookmarkEnd w:id="40"/>
      <w:bookmarkStart w:id="41" w:name="art156§6"/>
      <w:bookmarkEnd w:id="41"/>
      <w:bookmarkStart w:id="42" w:name="art156§5"/>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4D12E08">
      <w:pPr>
        <w:pStyle w:val="304"/>
        <w:spacing w:before="0" w:after="0" w:line="240" w:lineRule="auto"/>
        <w:rPr>
          <w:rFonts w:hint="default" w:ascii="Arial" w:hAnsi="Arial" w:cs="Arial"/>
          <w:sz w:val="18"/>
          <w:szCs w:val="18"/>
        </w:rPr>
      </w:pPr>
    </w:p>
    <w:p w14:paraId="6EDD1841">
      <w:pPr>
        <w:pStyle w:val="304"/>
        <w:spacing w:before="0" w:after="0" w:line="240" w:lineRule="auto"/>
        <w:rPr>
          <w:rFonts w:hint="default" w:ascii="Arial" w:hAnsi="Arial" w:cs="Arial"/>
          <w:sz w:val="18"/>
          <w:szCs w:val="18"/>
        </w:rPr>
      </w:pPr>
    </w:p>
    <w:p w14:paraId="55CBFCBA">
      <w:pPr>
        <w:pStyle w:val="304"/>
        <w:spacing w:before="0" w:after="0" w:line="240" w:lineRule="auto"/>
        <w:rPr>
          <w:rFonts w:hint="default" w:ascii="Arial" w:hAnsi="Arial" w:cs="Arial"/>
          <w:sz w:val="18"/>
          <w:szCs w:val="18"/>
        </w:rPr>
      </w:pPr>
    </w:p>
    <w:p w14:paraId="26CFF978">
      <w:pPr>
        <w:pStyle w:val="304"/>
        <w:spacing w:before="0" w:after="0" w:line="360" w:lineRule="auto"/>
        <w:rPr>
          <w:rFonts w:hint="default" w:ascii="Arial" w:hAnsi="Arial"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4BDCE0D7">
      <w:pPr>
        <w:spacing w:line="360" w:lineRule="auto"/>
        <w:jc w:val="both"/>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12 de dezembro </w:t>
      </w:r>
      <w:r>
        <w:rPr>
          <w:rFonts w:hint="default" w:ascii="Arial" w:hAnsi="Arial" w:cs="Arial"/>
          <w:sz w:val="18"/>
          <w:szCs w:val="18"/>
        </w:rPr>
        <w:t>de 202</w:t>
      </w:r>
      <w:r>
        <w:rPr>
          <w:rFonts w:hint="default" w:ascii="Arial" w:hAnsi="Arial" w:cs="Arial"/>
          <w:sz w:val="18"/>
          <w:szCs w:val="18"/>
          <w:lang w:val="pt-BR"/>
        </w:rPr>
        <w:t>4</w:t>
      </w:r>
      <w:r>
        <w:rPr>
          <w:rFonts w:hint="default" w:ascii="Arial" w:hAnsi="Arial" w:cs="Arial"/>
          <w:sz w:val="18"/>
          <w:szCs w:val="18"/>
        </w:rPr>
        <w:t>.</w:t>
      </w:r>
    </w:p>
    <w:p w14:paraId="5F513582">
      <w:pPr>
        <w:spacing w:line="360" w:lineRule="auto"/>
        <w:jc w:val="both"/>
        <w:rPr>
          <w:rFonts w:hint="default" w:ascii="Arial" w:hAnsi="Arial" w:cs="Arial"/>
          <w:sz w:val="18"/>
          <w:szCs w:val="18"/>
        </w:rPr>
      </w:pPr>
    </w:p>
    <w:p w14:paraId="2B725059">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5BEE16EA">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2F4FE79C">
      <w:pPr>
        <w:ind w:firstLine="567"/>
        <w:jc w:val="center"/>
        <w:rPr>
          <w:rFonts w:ascii="Arial" w:hAnsi="Arial" w:cs="Arial"/>
          <w:b/>
          <w:bCs/>
          <w:color w:val="auto"/>
          <w:sz w:val="32"/>
          <w:szCs w:val="32"/>
        </w:rPr>
      </w:pPr>
    </w:p>
    <w:p w14:paraId="031B9FE7">
      <w:pPr>
        <w:ind w:firstLine="567"/>
        <w:jc w:val="center"/>
        <w:rPr>
          <w:rFonts w:ascii="Arial" w:hAnsi="Arial" w:cs="Arial"/>
          <w:b/>
          <w:bCs/>
          <w:color w:val="auto"/>
          <w:sz w:val="32"/>
          <w:szCs w:val="32"/>
        </w:rPr>
      </w:pPr>
    </w:p>
    <w:p w14:paraId="6DF60ED9">
      <w:pPr>
        <w:ind w:firstLine="567"/>
        <w:jc w:val="center"/>
        <w:rPr>
          <w:rFonts w:ascii="Arial" w:hAnsi="Arial" w:cs="Arial"/>
          <w:b/>
          <w:bCs/>
          <w:color w:val="auto"/>
          <w:sz w:val="32"/>
          <w:szCs w:val="32"/>
        </w:rPr>
      </w:pPr>
    </w:p>
    <w:p w14:paraId="170A96D3">
      <w:pPr>
        <w:ind w:firstLine="567"/>
        <w:jc w:val="center"/>
        <w:rPr>
          <w:rFonts w:ascii="Arial" w:hAnsi="Arial" w:cs="Arial"/>
          <w:b/>
          <w:bCs/>
          <w:color w:val="auto"/>
          <w:sz w:val="32"/>
          <w:szCs w:val="32"/>
        </w:rPr>
      </w:pPr>
    </w:p>
    <w:p w14:paraId="6BE2EF79">
      <w:pPr>
        <w:ind w:firstLine="567"/>
        <w:jc w:val="center"/>
        <w:rPr>
          <w:rFonts w:ascii="Arial" w:hAnsi="Arial" w:cs="Arial"/>
          <w:b/>
          <w:bCs/>
          <w:color w:val="auto"/>
          <w:sz w:val="32"/>
          <w:szCs w:val="32"/>
        </w:rPr>
      </w:pPr>
    </w:p>
    <w:p w14:paraId="0446DD58">
      <w:pPr>
        <w:ind w:firstLine="567"/>
        <w:jc w:val="center"/>
        <w:rPr>
          <w:rFonts w:ascii="Arial" w:hAnsi="Arial" w:cs="Arial"/>
          <w:b/>
          <w:bCs/>
          <w:color w:val="auto"/>
          <w:sz w:val="32"/>
          <w:szCs w:val="32"/>
        </w:rPr>
      </w:pPr>
    </w:p>
    <w:p w14:paraId="2D589462">
      <w:pPr>
        <w:ind w:firstLine="567"/>
        <w:jc w:val="center"/>
        <w:rPr>
          <w:rFonts w:ascii="Arial" w:hAnsi="Arial" w:cs="Arial"/>
          <w:b/>
          <w:bCs/>
          <w:color w:val="auto"/>
          <w:sz w:val="32"/>
          <w:szCs w:val="32"/>
        </w:rPr>
      </w:pPr>
    </w:p>
    <w:p w14:paraId="03E1CD06">
      <w:pPr>
        <w:ind w:firstLine="567"/>
        <w:jc w:val="center"/>
        <w:rPr>
          <w:rFonts w:ascii="Arial" w:hAnsi="Arial" w:cs="Arial"/>
          <w:b/>
          <w:bCs/>
          <w:color w:val="auto"/>
          <w:sz w:val="32"/>
          <w:szCs w:val="32"/>
        </w:rPr>
      </w:pPr>
    </w:p>
    <w:p w14:paraId="3669CE3D">
      <w:pPr>
        <w:ind w:firstLine="567"/>
        <w:jc w:val="center"/>
        <w:rPr>
          <w:rFonts w:ascii="Arial" w:hAnsi="Arial" w:cs="Arial"/>
          <w:b/>
          <w:bCs/>
          <w:color w:val="auto"/>
          <w:sz w:val="32"/>
          <w:szCs w:val="32"/>
        </w:rPr>
      </w:pPr>
    </w:p>
    <w:p w14:paraId="06F58142">
      <w:pPr>
        <w:ind w:firstLine="567"/>
        <w:jc w:val="center"/>
        <w:rPr>
          <w:rFonts w:ascii="Arial" w:hAnsi="Arial" w:cs="Arial"/>
          <w:b/>
          <w:bCs/>
          <w:color w:val="auto"/>
          <w:sz w:val="32"/>
          <w:szCs w:val="32"/>
        </w:rPr>
      </w:pPr>
    </w:p>
    <w:p w14:paraId="39A2AEBB">
      <w:pPr>
        <w:ind w:firstLine="567"/>
        <w:jc w:val="center"/>
        <w:rPr>
          <w:rFonts w:ascii="Arial" w:hAnsi="Arial" w:cs="Arial"/>
          <w:b/>
          <w:bCs/>
          <w:color w:val="auto"/>
          <w:sz w:val="32"/>
          <w:szCs w:val="32"/>
        </w:rPr>
      </w:pPr>
    </w:p>
    <w:p w14:paraId="7306DFE4">
      <w:pPr>
        <w:jc w:val="both"/>
        <w:rPr>
          <w:rFonts w:ascii="Arial" w:hAnsi="Arial" w:cs="Arial"/>
          <w:b/>
          <w:bCs/>
          <w:color w:val="auto"/>
          <w:sz w:val="32"/>
          <w:szCs w:val="32"/>
        </w:rPr>
      </w:pPr>
    </w:p>
    <w:p w14:paraId="74C4719B">
      <w:pPr>
        <w:ind w:firstLine="567"/>
        <w:jc w:val="center"/>
        <w:rPr>
          <w:rFonts w:ascii="Arial" w:hAnsi="Arial" w:cs="Arial"/>
          <w:b/>
          <w:bCs/>
          <w:color w:val="auto"/>
          <w:sz w:val="32"/>
          <w:szCs w:val="32"/>
        </w:rPr>
      </w:pPr>
      <w:r>
        <w:rPr>
          <w:rFonts w:ascii="Arial" w:hAnsi="Arial" w:cs="Arial"/>
          <w:b/>
          <w:bCs/>
          <w:color w:val="auto"/>
          <w:sz w:val="32"/>
          <w:szCs w:val="32"/>
        </w:rPr>
        <w:t xml:space="preserve">ANEXO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163/2024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091/2024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068/2024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76" w:lineRule="auto"/>
        <w:jc w:val="center"/>
        <w:rPr>
          <w:rFonts w:hint="default" w:ascii="Arial" w:hAnsi="Arial" w:cs="Arial"/>
          <w:b/>
          <w:sz w:val="17"/>
          <w:szCs w:val="17"/>
        </w:rPr>
      </w:pPr>
    </w:p>
    <w:p w14:paraId="22E86ADC">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eastAsia="LiberationSerif-Bold" w:cs="Arial"/>
          <w:b/>
          <w:sz w:val="17"/>
          <w:szCs w:val="17"/>
          <w:lang w:eastAsia="zh-CN"/>
        </w:rPr>
        <w:t xml:space="preserve">OBJETO DO PROCESSO: </w:t>
      </w:r>
      <w:r>
        <w:rPr>
          <w:rFonts w:hint="default" w:ascii="Arial" w:hAnsi="Arial" w:eastAsia="LiberationSerif-Bold" w:cs="Arial"/>
          <w:sz w:val="17"/>
          <w:szCs w:val="17"/>
          <w:lang w:eastAsia="zh-CN"/>
        </w:rPr>
        <w:t xml:space="preserve">Processo Licitatório (Lei 14.133/2021) do tipo Pregão Eletrônica, para Registro de Preços, </w:t>
      </w:r>
      <w:r>
        <w:rPr>
          <w:rFonts w:hint="default" w:ascii="Arial" w:hAnsi="Arial" w:cs="Arial"/>
          <w:sz w:val="17"/>
          <w:szCs w:val="17"/>
        </w:rPr>
        <w:t xml:space="preserve">(MAIOR DESCONTO), </w:t>
      </w:r>
      <w:r>
        <w:rPr>
          <w:rFonts w:hint="default" w:ascii="Arial" w:hAnsi="Arial" w:eastAsia="LiberationSerif-Bold" w:cs="Arial"/>
          <w:sz w:val="17"/>
          <w:szCs w:val="17"/>
          <w:lang w:eastAsia="zh-CN"/>
        </w:rPr>
        <w:t xml:space="preserve">para </w:t>
      </w:r>
      <w:r>
        <w:rPr>
          <w:rFonts w:hint="default" w:ascii="Arial" w:hAnsi="Arial" w:cs="Arial"/>
          <w:sz w:val="17"/>
          <w:szCs w:val="17"/>
        </w:rPr>
        <w:t>contratação de empresa especializada  na prestação de serviços de manutenção preventiva e corretiva incluindo o fornecimento de peça sobre a tabela de preço genuína da Fabricante/ Montadora (Peças e acessórios) da marca do veículo, ou originais de fábrica em  atendimento a frota de veículos, (TIPO MOTOCICLETA), de diversas Secretarias da Prefeitura Municipal de Cataguases-MG.</w:t>
      </w:r>
    </w:p>
    <w:p w14:paraId="2E62C761">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p>
    <w:p w14:paraId="47EB98EC">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eastAsia="Arial" w:cs="Arial"/>
          <w:sz w:val="17"/>
          <w:szCs w:val="17"/>
        </w:rPr>
      </w:pPr>
      <w:r>
        <w:rPr>
          <w:rFonts w:hint="default" w:ascii="Arial" w:hAnsi="Arial" w:cs="Arial"/>
          <w:sz w:val="17"/>
          <w:szCs w:val="17"/>
        </w:rPr>
        <w:t>CONDIÇÕES GERAIS DA CONTRATAÇÃO</w:t>
      </w:r>
    </w:p>
    <w:p w14:paraId="71986A3D">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color w:val="auto"/>
          <w:sz w:val="17"/>
          <w:szCs w:val="17"/>
        </w:rPr>
        <w:t>C</w:t>
      </w:r>
      <w:r>
        <w:rPr>
          <w:rFonts w:hint="default" w:ascii="Arial" w:hAnsi="Arial" w:cs="Arial"/>
          <w:sz w:val="17"/>
          <w:szCs w:val="17"/>
        </w:rPr>
        <w:t>ontratação de empresa especializada para o fornecimento de peças e prestação de serviços contínuos de manutenção preventiva e corretiva nos veículos oficiais, do tipo motocicleta, no qual serão consideradas a tabela de preços genuína da fabricante/montadora (peças e acessórios) da marca dos veículos ou peças originais de fábrica, valor da hora trabalhada, sendo facultativo às Secretarias incluir ou excluir veículos a qualquer momento.</w:t>
      </w:r>
    </w:p>
    <w:p w14:paraId="20B64813">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objeto desta contratação não se enquadra como sendo de bem de luxo, conforme Decreto nº 10.818, de 27 de setembro de 2021.</w:t>
      </w:r>
    </w:p>
    <w:p w14:paraId="1B1530E1">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Os bens objeto desta contratação são caracterizados como comuns.</w:t>
      </w:r>
    </w:p>
    <w:p w14:paraId="7E015601">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O objeto supracitado enquadra-se na classificação de bens e serviços comuns, aqueles cujos padrões de desempenho e qualidade podem ser objetivamente definidos pelo edital, por meio de especificações usuais de mercado, nos termos do Art. 6º, inciso XIII, da Lei Federal nº 14.133/2021.</w:t>
      </w:r>
    </w:p>
    <w:p w14:paraId="0A9A2DFE">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prazo de vigência da contratação é de 12 meses contados a partir da assinatura da Ata.</w:t>
      </w:r>
    </w:p>
    <w:p w14:paraId="2AEDE0BC">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Ata oferecerá maior detalhamento das regras que serão aplicadas em relação à vigência da contratação. </w:t>
      </w:r>
    </w:p>
    <w:p w14:paraId="3C84E96D">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7"/>
          <w:szCs w:val="17"/>
        </w:rPr>
      </w:pPr>
    </w:p>
    <w:p w14:paraId="58F45F6D">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7"/>
          <w:szCs w:val="17"/>
        </w:rPr>
      </w:pPr>
      <w:r>
        <w:rPr>
          <w:rFonts w:hint="default" w:ascii="Arial" w:hAnsi="Arial" w:cs="Arial"/>
          <w:b/>
          <w:sz w:val="17"/>
          <w:szCs w:val="17"/>
        </w:rPr>
        <w:t>DESCRIÇÃO, ESPECIFICAÇÃO E QUANTIDADE</w:t>
      </w:r>
    </w:p>
    <w:p w14:paraId="0E28170B">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A estimativa de preços para cada lote é a seguir, totalizando o valor de R$ 30.000,00 (Trinta mil reais) para peças e R$ 22.159,20 (Vinte e dois mil, cento e cinquenta e nove reais e vinte centavos) para serviços. </w:t>
      </w:r>
    </w:p>
    <w:p w14:paraId="57BFFCF9">
      <w:pPr>
        <w:pageBreakBefore w:val="0"/>
        <w:widowControl/>
        <w:tabs>
          <w:tab w:val="left" w:pos="284"/>
        </w:tabs>
        <w:kinsoku/>
        <w:wordWrap/>
        <w:overflowPunct/>
        <w:topLinePunct w:val="0"/>
        <w:bidi w:val="0"/>
        <w:snapToGrid/>
        <w:spacing w:line="360" w:lineRule="auto"/>
        <w:ind w:left="0" w:leftChars="0" w:right="0" w:firstLine="0" w:firstLineChars="0"/>
        <w:jc w:val="both"/>
        <w:textAlignment w:val="auto"/>
        <w:rPr>
          <w:rFonts w:hint="default" w:ascii="Arial" w:hAnsi="Arial" w:cs="Arial"/>
          <w:b/>
          <w:i/>
          <w:sz w:val="17"/>
          <w:szCs w:val="17"/>
          <w:u w:val="single"/>
        </w:rPr>
      </w:pPr>
      <w:r>
        <w:rPr>
          <w:rFonts w:hint="default" w:ascii="Arial" w:hAnsi="Arial" w:eastAsia="Times New Roman" w:cs="Arial"/>
          <w:b/>
          <w:bCs/>
          <w:i/>
          <w:sz w:val="17"/>
          <w:szCs w:val="17"/>
          <w:u w:val="single"/>
        </w:rPr>
        <w:t>OBS:</w:t>
      </w:r>
      <w:r>
        <w:rPr>
          <w:rFonts w:hint="default" w:ascii="Arial" w:hAnsi="Arial" w:eastAsia="Times New Roman" w:cs="Arial"/>
          <w:b/>
          <w:bCs/>
          <w:sz w:val="17"/>
          <w:szCs w:val="17"/>
        </w:rPr>
        <w:t xml:space="preserve"> </w:t>
      </w:r>
      <w:r>
        <w:rPr>
          <w:rFonts w:hint="default" w:ascii="Arial" w:hAnsi="Arial" w:cs="Arial"/>
          <w:b/>
          <w:i/>
          <w:sz w:val="17"/>
          <w:szCs w:val="17"/>
          <w:u w:val="single"/>
        </w:rPr>
        <w:t>O valor médio para os serviços de manutenção: serviços de mecânica em geral, funilaria, pintura, borracharia, capotaria, elétrico, caixa de câmbio e outros de natureza afim. A estimativa será R$ 92,33 (noventa e dois reais e trinat e três centavos) por hora trabalhada.</w:t>
      </w:r>
    </w:p>
    <w:p w14:paraId="3D33D10F">
      <w:pPr>
        <w:pageBreakBefore w:val="0"/>
        <w:widowControl/>
        <w:tabs>
          <w:tab w:val="left" w:pos="284"/>
        </w:tabs>
        <w:kinsoku/>
        <w:wordWrap/>
        <w:overflowPunct/>
        <w:topLinePunct w:val="0"/>
        <w:bidi w:val="0"/>
        <w:snapToGrid/>
        <w:spacing w:line="360" w:lineRule="auto"/>
        <w:ind w:left="0" w:leftChars="0" w:right="0" w:firstLine="0" w:firstLineChars="0"/>
        <w:jc w:val="both"/>
        <w:textAlignment w:val="auto"/>
        <w:rPr>
          <w:rFonts w:hint="default" w:ascii="Arial" w:hAnsi="Arial" w:eastAsia="Times New Roman" w:cs="Arial"/>
          <w:bCs/>
          <w:color w:val="000000"/>
          <w:sz w:val="17"/>
          <w:szCs w:val="17"/>
        </w:rPr>
      </w:pPr>
    </w:p>
    <w:tbl>
      <w:tblPr>
        <w:tblStyle w:val="5"/>
        <w:tblW w:w="1073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70" w:type="dxa"/>
          <w:bottom w:w="0" w:type="dxa"/>
          <w:right w:w="70" w:type="dxa"/>
        </w:tblCellMar>
      </w:tblPr>
      <w:tblGrid>
        <w:gridCol w:w="728"/>
        <w:gridCol w:w="1213"/>
        <w:gridCol w:w="3230"/>
        <w:gridCol w:w="1000"/>
        <w:gridCol w:w="1742"/>
        <w:gridCol w:w="1461"/>
        <w:gridCol w:w="1360"/>
      </w:tblGrid>
      <w:tr w14:paraId="4434C81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7" w:hRule="atLeast"/>
          <w:jc w:val="center"/>
        </w:trPr>
        <w:tc>
          <w:tcPr>
            <w:tcW w:w="728" w:type="dxa"/>
            <w:tcBorders>
              <w:left w:val="single" w:color="auto" w:sz="4" w:space="0"/>
              <w:bottom w:val="single" w:color="auto" w:sz="4" w:space="0"/>
            </w:tcBorders>
            <w:shd w:val="clear" w:color="auto" w:fill="auto"/>
            <w:noWrap/>
            <w:vAlign w:val="center"/>
          </w:tcPr>
          <w:p w14:paraId="6B0BEC16">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sz w:val="17"/>
                <w:szCs w:val="17"/>
              </w:rPr>
            </w:pPr>
            <w:r>
              <w:rPr>
                <w:rFonts w:hint="default" w:ascii="Arial" w:hAnsi="Arial" w:cs="Arial"/>
                <w:sz w:val="17"/>
                <w:szCs w:val="17"/>
              </w:rPr>
              <w:t>LOTE</w:t>
            </w:r>
          </w:p>
        </w:tc>
        <w:tc>
          <w:tcPr>
            <w:tcW w:w="1213" w:type="dxa"/>
            <w:tcBorders>
              <w:bottom w:val="single" w:color="auto" w:sz="4" w:space="0"/>
            </w:tcBorders>
            <w:vAlign w:val="center"/>
          </w:tcPr>
          <w:p w14:paraId="573DA39E">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sz w:val="17"/>
                <w:szCs w:val="17"/>
              </w:rPr>
            </w:pPr>
            <w:r>
              <w:rPr>
                <w:rFonts w:hint="default" w:ascii="Arial" w:hAnsi="Arial" w:cs="Arial"/>
                <w:sz w:val="17"/>
                <w:szCs w:val="17"/>
              </w:rPr>
              <w:t>MARCA</w:t>
            </w:r>
          </w:p>
        </w:tc>
        <w:tc>
          <w:tcPr>
            <w:tcW w:w="3230" w:type="dxa"/>
            <w:vAlign w:val="center"/>
          </w:tcPr>
          <w:p w14:paraId="19DAC246">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sz w:val="17"/>
                <w:szCs w:val="17"/>
              </w:rPr>
            </w:pPr>
            <w:r>
              <w:rPr>
                <w:rFonts w:hint="default" w:ascii="Arial" w:hAnsi="Arial" w:cs="Arial"/>
                <w:sz w:val="17"/>
                <w:szCs w:val="17"/>
              </w:rPr>
              <w:t>VEICULO</w:t>
            </w:r>
          </w:p>
        </w:tc>
        <w:tc>
          <w:tcPr>
            <w:tcW w:w="1000" w:type="dxa"/>
            <w:vAlign w:val="center"/>
          </w:tcPr>
          <w:p w14:paraId="16F27DEB">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sz w:val="17"/>
                <w:szCs w:val="17"/>
              </w:rPr>
            </w:pPr>
            <w:r>
              <w:rPr>
                <w:rFonts w:hint="default" w:ascii="Arial" w:hAnsi="Arial" w:cs="Arial"/>
                <w:sz w:val="17"/>
                <w:szCs w:val="17"/>
              </w:rPr>
              <w:t>ANO</w:t>
            </w:r>
          </w:p>
        </w:tc>
        <w:tc>
          <w:tcPr>
            <w:tcW w:w="1742" w:type="dxa"/>
            <w:vAlign w:val="center"/>
          </w:tcPr>
          <w:p w14:paraId="129669EA">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sz w:val="17"/>
                <w:szCs w:val="17"/>
              </w:rPr>
            </w:pPr>
            <w:r>
              <w:rPr>
                <w:rFonts w:hint="default" w:ascii="Arial" w:hAnsi="Arial" w:cs="Arial"/>
                <w:sz w:val="17"/>
                <w:szCs w:val="17"/>
              </w:rPr>
              <w:t>COMBUSTIVEL</w:t>
            </w:r>
          </w:p>
        </w:tc>
        <w:tc>
          <w:tcPr>
            <w:tcW w:w="1461" w:type="dxa"/>
            <w:shd w:val="clear" w:color="auto" w:fill="auto"/>
            <w:noWrap/>
            <w:vAlign w:val="center"/>
          </w:tcPr>
          <w:p w14:paraId="69F1F7F6">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sz w:val="17"/>
                <w:szCs w:val="17"/>
              </w:rPr>
            </w:pPr>
            <w:r>
              <w:rPr>
                <w:rFonts w:hint="default" w:ascii="Arial" w:hAnsi="Arial" w:cs="Arial"/>
                <w:sz w:val="17"/>
                <w:szCs w:val="17"/>
              </w:rPr>
              <w:t>DESCRIÇÃO</w:t>
            </w:r>
          </w:p>
        </w:tc>
        <w:tc>
          <w:tcPr>
            <w:tcW w:w="1360" w:type="dxa"/>
            <w:tcBorders>
              <w:bottom w:val="single" w:color="auto" w:sz="4" w:space="0"/>
              <w:right w:val="single" w:color="auto" w:sz="4" w:space="0"/>
            </w:tcBorders>
            <w:vAlign w:val="center"/>
          </w:tcPr>
          <w:p w14:paraId="444341D8">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sz w:val="17"/>
                <w:szCs w:val="17"/>
              </w:rPr>
            </w:pPr>
            <w:r>
              <w:rPr>
                <w:rFonts w:hint="default" w:ascii="Arial" w:hAnsi="Arial" w:cs="Arial"/>
                <w:sz w:val="17"/>
                <w:szCs w:val="17"/>
              </w:rPr>
              <w:t>VALOR</w:t>
            </w:r>
          </w:p>
        </w:tc>
      </w:tr>
      <w:tr w14:paraId="42B34C5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restart"/>
            <w:tcBorders>
              <w:left w:val="single" w:color="auto" w:sz="4" w:space="0"/>
            </w:tcBorders>
            <w:shd w:val="clear" w:color="auto" w:fill="auto"/>
            <w:noWrap/>
            <w:vAlign w:val="center"/>
          </w:tcPr>
          <w:p w14:paraId="6583137F">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1</w:t>
            </w:r>
          </w:p>
        </w:tc>
        <w:tc>
          <w:tcPr>
            <w:tcW w:w="1213" w:type="dxa"/>
            <w:vMerge w:val="restart"/>
            <w:vAlign w:val="center"/>
          </w:tcPr>
          <w:p w14:paraId="4626D939">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YAMAHA</w:t>
            </w:r>
          </w:p>
        </w:tc>
        <w:tc>
          <w:tcPr>
            <w:tcW w:w="3230" w:type="dxa"/>
            <w:vMerge w:val="restart"/>
            <w:vAlign w:val="center"/>
          </w:tcPr>
          <w:p w14:paraId="0F0290D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Yamaha YBR 125 – GYD - 7019</w:t>
            </w:r>
          </w:p>
        </w:tc>
        <w:tc>
          <w:tcPr>
            <w:tcW w:w="1000" w:type="dxa"/>
            <w:vMerge w:val="restart"/>
            <w:vAlign w:val="center"/>
          </w:tcPr>
          <w:p w14:paraId="09B04A03">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2002</w:t>
            </w:r>
          </w:p>
        </w:tc>
        <w:tc>
          <w:tcPr>
            <w:tcW w:w="1742" w:type="dxa"/>
            <w:vMerge w:val="restart"/>
            <w:vAlign w:val="center"/>
          </w:tcPr>
          <w:p w14:paraId="7768C7B8">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p w14:paraId="07B5902B">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shd w:val="clear" w:color="auto" w:fill="auto"/>
            <w:vAlign w:val="center"/>
          </w:tcPr>
          <w:p w14:paraId="2459A6B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4D102FF6">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b/>
                <w:sz w:val="17"/>
                <w:szCs w:val="17"/>
              </w:rPr>
              <w:t>Cód.: 378878</w:t>
            </w:r>
          </w:p>
        </w:tc>
        <w:tc>
          <w:tcPr>
            <w:tcW w:w="1360" w:type="dxa"/>
            <w:tcBorders>
              <w:bottom w:val="single" w:color="auto" w:sz="4" w:space="0"/>
              <w:right w:val="single" w:color="auto" w:sz="4" w:space="0"/>
            </w:tcBorders>
            <w:vAlign w:val="center"/>
          </w:tcPr>
          <w:p w14:paraId="19F3FF1F">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403AB08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001C5E01">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110BFCAA">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vAlign w:val="center"/>
          </w:tcPr>
          <w:p w14:paraId="669FEE6C">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vAlign w:val="center"/>
          </w:tcPr>
          <w:p w14:paraId="0C57762A">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742" w:type="dxa"/>
            <w:vMerge w:val="continue"/>
            <w:vAlign w:val="center"/>
          </w:tcPr>
          <w:p w14:paraId="7FC061E5">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shd w:val="clear" w:color="auto" w:fill="auto"/>
            <w:vAlign w:val="center"/>
          </w:tcPr>
          <w:p w14:paraId="0EC31962">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7C6E5FEB">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bottom w:val="single" w:color="auto" w:sz="4" w:space="0"/>
              <w:right w:val="single" w:color="auto" w:sz="4" w:space="0"/>
            </w:tcBorders>
            <w:vAlign w:val="center"/>
          </w:tcPr>
          <w:p w14:paraId="5B1C2DC6">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2041EB0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176D6FAA">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343661A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restart"/>
            <w:vAlign w:val="center"/>
          </w:tcPr>
          <w:p w14:paraId="4E9C532A">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Yamaha Factor 125 – OQY - 9573</w:t>
            </w:r>
          </w:p>
        </w:tc>
        <w:tc>
          <w:tcPr>
            <w:tcW w:w="1000" w:type="dxa"/>
            <w:vMerge w:val="restart"/>
            <w:vAlign w:val="center"/>
          </w:tcPr>
          <w:p w14:paraId="6784C3BC">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2013</w:t>
            </w:r>
          </w:p>
        </w:tc>
        <w:tc>
          <w:tcPr>
            <w:tcW w:w="1742" w:type="dxa"/>
            <w:vMerge w:val="restart"/>
            <w:vAlign w:val="center"/>
          </w:tcPr>
          <w:p w14:paraId="607E477A">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461" w:type="dxa"/>
            <w:shd w:val="clear" w:color="auto" w:fill="auto"/>
            <w:vAlign w:val="center"/>
          </w:tcPr>
          <w:p w14:paraId="095A610E">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13A20F1B">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bottom w:val="single" w:color="auto" w:sz="4" w:space="0"/>
              <w:right w:val="single" w:color="auto" w:sz="4" w:space="0"/>
            </w:tcBorders>
            <w:vAlign w:val="center"/>
          </w:tcPr>
          <w:p w14:paraId="75ADFBC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2E0B3DF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144C905E">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5CE98C8A">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vAlign w:val="center"/>
          </w:tcPr>
          <w:p w14:paraId="205906D0">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vAlign w:val="center"/>
          </w:tcPr>
          <w:p w14:paraId="1CF3A35B">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742" w:type="dxa"/>
            <w:vMerge w:val="continue"/>
            <w:vAlign w:val="center"/>
          </w:tcPr>
          <w:p w14:paraId="6A25F2D3">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shd w:val="clear" w:color="auto" w:fill="auto"/>
            <w:vAlign w:val="center"/>
          </w:tcPr>
          <w:p w14:paraId="0EE74238">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690AB20E">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bottom w:val="single" w:color="auto" w:sz="4" w:space="0"/>
              <w:right w:val="single" w:color="auto" w:sz="4" w:space="0"/>
            </w:tcBorders>
            <w:vAlign w:val="center"/>
          </w:tcPr>
          <w:p w14:paraId="4EE26E9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6352C97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638FD848">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46C47A20">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restart"/>
            <w:vAlign w:val="center"/>
          </w:tcPr>
          <w:p w14:paraId="08DD80F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Yamaha XTZ 150 Crosser – QOT - 7947</w:t>
            </w:r>
          </w:p>
        </w:tc>
        <w:tc>
          <w:tcPr>
            <w:tcW w:w="1000" w:type="dxa"/>
            <w:vMerge w:val="restart"/>
            <w:vAlign w:val="center"/>
          </w:tcPr>
          <w:p w14:paraId="3A65904D">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2018</w:t>
            </w:r>
          </w:p>
        </w:tc>
        <w:tc>
          <w:tcPr>
            <w:tcW w:w="1742" w:type="dxa"/>
            <w:vMerge w:val="restart"/>
            <w:vAlign w:val="center"/>
          </w:tcPr>
          <w:p w14:paraId="29CEF46F">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c>
          <w:tcPr>
            <w:tcW w:w="1461" w:type="dxa"/>
            <w:shd w:val="clear" w:color="auto" w:fill="auto"/>
            <w:vAlign w:val="center"/>
          </w:tcPr>
          <w:p w14:paraId="02E5FCD7">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65AF342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bottom w:val="single" w:color="auto" w:sz="4" w:space="0"/>
              <w:right w:val="single" w:color="auto" w:sz="4" w:space="0"/>
            </w:tcBorders>
            <w:vAlign w:val="center"/>
          </w:tcPr>
          <w:p w14:paraId="2E2B5B63">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050F1C4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bottom w:val="single" w:color="auto" w:sz="4" w:space="0"/>
            </w:tcBorders>
            <w:shd w:val="clear" w:color="auto" w:fill="auto"/>
            <w:noWrap/>
            <w:vAlign w:val="center"/>
          </w:tcPr>
          <w:p w14:paraId="50C7C3C5">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Borders>
              <w:bottom w:val="single" w:color="auto" w:sz="4" w:space="0"/>
            </w:tcBorders>
          </w:tcPr>
          <w:p w14:paraId="2812132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vAlign w:val="center"/>
          </w:tcPr>
          <w:p w14:paraId="13BAA51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vAlign w:val="center"/>
          </w:tcPr>
          <w:p w14:paraId="4716BC79">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742" w:type="dxa"/>
            <w:vMerge w:val="continue"/>
            <w:vAlign w:val="center"/>
          </w:tcPr>
          <w:p w14:paraId="2D0E08A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461" w:type="dxa"/>
            <w:shd w:val="clear" w:color="auto" w:fill="auto"/>
            <w:vAlign w:val="center"/>
          </w:tcPr>
          <w:p w14:paraId="47AE8B86">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1A653EBF">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bottom w:val="single" w:color="auto" w:sz="4" w:space="0"/>
              <w:right w:val="single" w:color="auto" w:sz="4" w:space="0"/>
            </w:tcBorders>
            <w:vAlign w:val="center"/>
          </w:tcPr>
          <w:p w14:paraId="4D326CF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71C0EED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restart"/>
            <w:tcBorders>
              <w:left w:val="single" w:color="auto" w:sz="4" w:space="0"/>
            </w:tcBorders>
            <w:shd w:val="clear" w:color="auto" w:fill="auto"/>
            <w:noWrap/>
            <w:vAlign w:val="center"/>
          </w:tcPr>
          <w:p w14:paraId="1E8FCC07">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w:t>
            </w:r>
          </w:p>
          <w:p w14:paraId="28B734A2">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restart"/>
            <w:tcBorders>
              <w:top w:val="single" w:color="auto" w:sz="4" w:space="0"/>
            </w:tcBorders>
            <w:vAlign w:val="center"/>
          </w:tcPr>
          <w:p w14:paraId="00618114">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HONDA</w:t>
            </w:r>
          </w:p>
          <w:p w14:paraId="63FB7775">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3230" w:type="dxa"/>
            <w:vMerge w:val="restart"/>
            <w:vAlign w:val="center"/>
          </w:tcPr>
          <w:p w14:paraId="1FE1755E">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Honda Fan 150 – NYA – 7B02</w:t>
            </w:r>
          </w:p>
        </w:tc>
        <w:tc>
          <w:tcPr>
            <w:tcW w:w="1000" w:type="dxa"/>
            <w:vMerge w:val="restart"/>
            <w:vAlign w:val="center"/>
          </w:tcPr>
          <w:p w14:paraId="32E47BA4">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2012</w:t>
            </w:r>
          </w:p>
        </w:tc>
        <w:tc>
          <w:tcPr>
            <w:tcW w:w="1742" w:type="dxa"/>
            <w:vMerge w:val="restart"/>
            <w:vAlign w:val="center"/>
          </w:tcPr>
          <w:p w14:paraId="740C3DB7">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c>
          <w:tcPr>
            <w:tcW w:w="1461" w:type="dxa"/>
            <w:shd w:val="clear" w:color="auto" w:fill="auto"/>
            <w:vAlign w:val="center"/>
          </w:tcPr>
          <w:p w14:paraId="63BEE4C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4EE2B77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bottom w:val="single" w:color="auto" w:sz="4" w:space="0"/>
              <w:right w:val="single" w:color="auto" w:sz="4" w:space="0"/>
            </w:tcBorders>
            <w:vAlign w:val="center"/>
          </w:tcPr>
          <w:p w14:paraId="75207E0E">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3A4F824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63235ADA">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03A3CC93">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3230" w:type="dxa"/>
            <w:vMerge w:val="continue"/>
            <w:vAlign w:val="center"/>
          </w:tcPr>
          <w:p w14:paraId="42158BCF">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vAlign w:val="center"/>
          </w:tcPr>
          <w:p w14:paraId="0F22DA4C">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742" w:type="dxa"/>
            <w:vMerge w:val="continue"/>
            <w:vAlign w:val="center"/>
          </w:tcPr>
          <w:p w14:paraId="588F18A2">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shd w:val="clear" w:color="auto" w:fill="auto"/>
            <w:vAlign w:val="center"/>
          </w:tcPr>
          <w:p w14:paraId="6E22ECD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53D22DB7">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bottom w:val="single" w:color="auto" w:sz="4" w:space="0"/>
              <w:right w:val="single" w:color="auto" w:sz="4" w:space="0"/>
            </w:tcBorders>
            <w:vAlign w:val="center"/>
          </w:tcPr>
          <w:p w14:paraId="383D9188">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740EC10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7F283515">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1FB448FB">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3230" w:type="dxa"/>
            <w:vMerge w:val="restart"/>
            <w:vAlign w:val="center"/>
          </w:tcPr>
          <w:p w14:paraId="47C39FD1">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Honda Bross 160 – PWL - 3243</w:t>
            </w:r>
          </w:p>
        </w:tc>
        <w:tc>
          <w:tcPr>
            <w:tcW w:w="1000" w:type="dxa"/>
            <w:vMerge w:val="restart"/>
            <w:vAlign w:val="center"/>
          </w:tcPr>
          <w:p w14:paraId="2EBCA6A5">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2015</w:t>
            </w:r>
          </w:p>
        </w:tc>
        <w:tc>
          <w:tcPr>
            <w:tcW w:w="1742" w:type="dxa"/>
            <w:vMerge w:val="restart"/>
            <w:vAlign w:val="center"/>
          </w:tcPr>
          <w:p w14:paraId="3DC5FED4">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c>
          <w:tcPr>
            <w:tcW w:w="1461" w:type="dxa"/>
            <w:shd w:val="clear" w:color="auto" w:fill="auto"/>
            <w:vAlign w:val="center"/>
          </w:tcPr>
          <w:p w14:paraId="2280C050">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4B261513">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bottom w:val="single" w:color="auto" w:sz="4" w:space="0"/>
              <w:right w:val="single" w:color="auto" w:sz="4" w:space="0"/>
            </w:tcBorders>
            <w:vAlign w:val="center"/>
          </w:tcPr>
          <w:p w14:paraId="1EE5209A">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57C9383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63" w:hRule="atLeast"/>
          <w:jc w:val="center"/>
        </w:trPr>
        <w:tc>
          <w:tcPr>
            <w:tcW w:w="728" w:type="dxa"/>
            <w:vMerge w:val="continue"/>
            <w:tcBorders>
              <w:left w:val="single" w:color="auto" w:sz="4" w:space="0"/>
            </w:tcBorders>
            <w:shd w:val="clear" w:color="auto" w:fill="auto"/>
            <w:noWrap/>
            <w:vAlign w:val="center"/>
          </w:tcPr>
          <w:p w14:paraId="73EB2D0F">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63AE0FD0">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3230" w:type="dxa"/>
            <w:vMerge w:val="continue"/>
          </w:tcPr>
          <w:p w14:paraId="442C9CCB">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vAlign w:val="center"/>
          </w:tcPr>
          <w:p w14:paraId="785D421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742" w:type="dxa"/>
            <w:vMerge w:val="continue"/>
            <w:vAlign w:val="center"/>
          </w:tcPr>
          <w:p w14:paraId="635A757E">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shd w:val="clear" w:color="auto" w:fill="auto"/>
            <w:vAlign w:val="center"/>
          </w:tcPr>
          <w:p w14:paraId="034D2C3C">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6552167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bottom w:val="single" w:color="auto" w:sz="4" w:space="0"/>
              <w:right w:val="single" w:color="auto" w:sz="4" w:space="0"/>
            </w:tcBorders>
            <w:vAlign w:val="center"/>
          </w:tcPr>
          <w:p w14:paraId="37CE2C0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1B1610C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007F79FB">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vAlign w:val="center"/>
          </w:tcPr>
          <w:p w14:paraId="7FBAE1D0">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3230" w:type="dxa"/>
            <w:vMerge w:val="restart"/>
            <w:vAlign w:val="center"/>
          </w:tcPr>
          <w:p w14:paraId="49399D93">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Honda Bross 160 – PWL - 3248 </w:t>
            </w:r>
          </w:p>
        </w:tc>
        <w:tc>
          <w:tcPr>
            <w:tcW w:w="1000" w:type="dxa"/>
            <w:vMerge w:val="restart"/>
            <w:vAlign w:val="center"/>
          </w:tcPr>
          <w:p w14:paraId="27D5D649">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2015</w:t>
            </w:r>
          </w:p>
        </w:tc>
        <w:tc>
          <w:tcPr>
            <w:tcW w:w="1742" w:type="dxa"/>
            <w:vMerge w:val="restart"/>
            <w:vAlign w:val="center"/>
          </w:tcPr>
          <w:p w14:paraId="40B0C03D">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c>
          <w:tcPr>
            <w:tcW w:w="1461" w:type="dxa"/>
            <w:shd w:val="clear" w:color="auto" w:fill="auto"/>
            <w:vAlign w:val="center"/>
          </w:tcPr>
          <w:p w14:paraId="472A9A4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09694EF3">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bottom w:val="single" w:color="auto" w:sz="4" w:space="0"/>
              <w:right w:val="single" w:color="auto" w:sz="4" w:space="0"/>
            </w:tcBorders>
            <w:vAlign w:val="center"/>
          </w:tcPr>
          <w:p w14:paraId="55DFA06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44E702A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33" w:hRule="atLeast"/>
          <w:jc w:val="center"/>
        </w:trPr>
        <w:tc>
          <w:tcPr>
            <w:tcW w:w="728" w:type="dxa"/>
            <w:vMerge w:val="continue"/>
            <w:tcBorders>
              <w:left w:val="single" w:color="auto" w:sz="4" w:space="0"/>
            </w:tcBorders>
            <w:shd w:val="clear" w:color="auto" w:fill="auto"/>
            <w:noWrap/>
            <w:vAlign w:val="center"/>
          </w:tcPr>
          <w:p w14:paraId="70A0B39F">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4FB5D1EE">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vAlign w:val="center"/>
          </w:tcPr>
          <w:p w14:paraId="5033F4C8">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vAlign w:val="center"/>
          </w:tcPr>
          <w:p w14:paraId="2D8721D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742" w:type="dxa"/>
            <w:vMerge w:val="continue"/>
            <w:vAlign w:val="center"/>
          </w:tcPr>
          <w:p w14:paraId="0B97D857">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shd w:val="clear" w:color="auto" w:fill="auto"/>
            <w:vAlign w:val="center"/>
          </w:tcPr>
          <w:p w14:paraId="789BD0FF">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3CBF225B">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bottom w:val="single" w:color="auto" w:sz="4" w:space="0"/>
              <w:right w:val="single" w:color="auto" w:sz="4" w:space="0"/>
            </w:tcBorders>
            <w:vAlign w:val="center"/>
          </w:tcPr>
          <w:p w14:paraId="53E57688">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220A8B8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2825CD0B">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74BFF5D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restart"/>
            <w:vAlign w:val="center"/>
          </w:tcPr>
          <w:p w14:paraId="76C5E73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Honda Bross 160 – PWL – 3C53</w:t>
            </w:r>
          </w:p>
        </w:tc>
        <w:tc>
          <w:tcPr>
            <w:tcW w:w="1000" w:type="dxa"/>
            <w:vMerge w:val="restart"/>
            <w:vAlign w:val="center"/>
          </w:tcPr>
          <w:p w14:paraId="36E767A3">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2015</w:t>
            </w:r>
          </w:p>
        </w:tc>
        <w:tc>
          <w:tcPr>
            <w:tcW w:w="1742" w:type="dxa"/>
            <w:vMerge w:val="restart"/>
            <w:vAlign w:val="center"/>
          </w:tcPr>
          <w:p w14:paraId="3AC86A29">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c>
          <w:tcPr>
            <w:tcW w:w="1461" w:type="dxa"/>
            <w:shd w:val="clear" w:color="auto" w:fill="auto"/>
            <w:vAlign w:val="center"/>
          </w:tcPr>
          <w:p w14:paraId="0958D4F6">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1F53C4E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bottom w:val="single" w:color="auto" w:sz="4" w:space="0"/>
              <w:right w:val="single" w:color="auto" w:sz="4" w:space="0"/>
            </w:tcBorders>
            <w:vAlign w:val="center"/>
          </w:tcPr>
          <w:p w14:paraId="4C41CA2F">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05F762F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489A5F21">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4A9BA6F6">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tcPr>
          <w:p w14:paraId="27809560">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tcPr>
          <w:p w14:paraId="36D6D2FF">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742" w:type="dxa"/>
            <w:vMerge w:val="continue"/>
            <w:vAlign w:val="center"/>
          </w:tcPr>
          <w:p w14:paraId="2799B061">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tcBorders>
              <w:bottom w:val="single" w:color="auto" w:sz="4" w:space="0"/>
            </w:tcBorders>
            <w:shd w:val="clear" w:color="auto" w:fill="auto"/>
            <w:vAlign w:val="center"/>
          </w:tcPr>
          <w:p w14:paraId="23825DFB">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40F8F4C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right w:val="single" w:color="auto" w:sz="4" w:space="0"/>
            </w:tcBorders>
            <w:vAlign w:val="center"/>
          </w:tcPr>
          <w:p w14:paraId="64BCF250">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5D0F042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5C331534">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64BD7CF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restart"/>
            <w:vAlign w:val="center"/>
          </w:tcPr>
          <w:p w14:paraId="525C53D2">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Honda CG 125 Titan – GLS - 6673</w:t>
            </w:r>
          </w:p>
        </w:tc>
        <w:tc>
          <w:tcPr>
            <w:tcW w:w="1000" w:type="dxa"/>
            <w:vMerge w:val="restart"/>
            <w:vAlign w:val="center"/>
          </w:tcPr>
          <w:p w14:paraId="71BCD8B7">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1998</w:t>
            </w:r>
          </w:p>
        </w:tc>
        <w:tc>
          <w:tcPr>
            <w:tcW w:w="1742" w:type="dxa"/>
            <w:vMerge w:val="restart"/>
            <w:vAlign w:val="center"/>
          </w:tcPr>
          <w:p w14:paraId="76C273C7">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461" w:type="dxa"/>
            <w:tcBorders>
              <w:bottom w:val="single" w:color="auto" w:sz="4" w:space="0"/>
            </w:tcBorders>
            <w:shd w:val="clear" w:color="auto" w:fill="auto"/>
            <w:vAlign w:val="center"/>
          </w:tcPr>
          <w:p w14:paraId="05ABB3E6">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41849BB8">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right w:val="single" w:color="auto" w:sz="4" w:space="0"/>
            </w:tcBorders>
            <w:vAlign w:val="center"/>
          </w:tcPr>
          <w:p w14:paraId="733CA96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6CA4160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47" w:hRule="atLeast"/>
          <w:jc w:val="center"/>
        </w:trPr>
        <w:tc>
          <w:tcPr>
            <w:tcW w:w="728" w:type="dxa"/>
            <w:vMerge w:val="continue"/>
            <w:tcBorders>
              <w:left w:val="single" w:color="auto" w:sz="4" w:space="0"/>
            </w:tcBorders>
            <w:shd w:val="clear" w:color="auto" w:fill="auto"/>
            <w:noWrap/>
            <w:vAlign w:val="center"/>
          </w:tcPr>
          <w:p w14:paraId="7E640EBC">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445AD2D0">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tcPr>
          <w:p w14:paraId="205B34E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tcPr>
          <w:p w14:paraId="2B8F3921">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742" w:type="dxa"/>
            <w:vMerge w:val="continue"/>
            <w:vAlign w:val="center"/>
          </w:tcPr>
          <w:p w14:paraId="476BA9B1">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tcBorders>
              <w:bottom w:val="single" w:color="auto" w:sz="4" w:space="0"/>
            </w:tcBorders>
            <w:shd w:val="clear" w:color="auto" w:fill="auto"/>
            <w:vAlign w:val="center"/>
          </w:tcPr>
          <w:p w14:paraId="61265A9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5DDB071C">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right w:val="single" w:color="auto" w:sz="4" w:space="0"/>
            </w:tcBorders>
            <w:vAlign w:val="center"/>
          </w:tcPr>
          <w:p w14:paraId="15D7A148">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3C27A1B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12" w:hRule="atLeast"/>
          <w:jc w:val="center"/>
        </w:trPr>
        <w:tc>
          <w:tcPr>
            <w:tcW w:w="728" w:type="dxa"/>
            <w:vMerge w:val="continue"/>
            <w:tcBorders>
              <w:left w:val="single" w:color="auto" w:sz="4" w:space="0"/>
            </w:tcBorders>
            <w:shd w:val="clear" w:color="auto" w:fill="auto"/>
            <w:noWrap/>
            <w:vAlign w:val="center"/>
          </w:tcPr>
          <w:p w14:paraId="0435144C">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638F98DA">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restart"/>
            <w:vAlign w:val="center"/>
          </w:tcPr>
          <w:p w14:paraId="539C7980">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Honda CG 125 Fan – HNH - 4532</w:t>
            </w:r>
          </w:p>
        </w:tc>
        <w:tc>
          <w:tcPr>
            <w:tcW w:w="1000" w:type="dxa"/>
            <w:vMerge w:val="restart"/>
            <w:vAlign w:val="center"/>
          </w:tcPr>
          <w:p w14:paraId="7C3076B6">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1742" w:type="dxa"/>
            <w:vMerge w:val="restart"/>
            <w:vAlign w:val="center"/>
          </w:tcPr>
          <w:p w14:paraId="4E7CA791">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461" w:type="dxa"/>
            <w:tcBorders>
              <w:bottom w:val="single" w:color="auto" w:sz="4" w:space="0"/>
            </w:tcBorders>
            <w:shd w:val="clear" w:color="auto" w:fill="auto"/>
            <w:vAlign w:val="center"/>
          </w:tcPr>
          <w:p w14:paraId="7A1BC59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3B20F52A">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right w:val="single" w:color="auto" w:sz="4" w:space="0"/>
            </w:tcBorders>
            <w:vAlign w:val="center"/>
          </w:tcPr>
          <w:p w14:paraId="78D67A8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2438521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90" w:hRule="atLeast"/>
          <w:jc w:val="center"/>
        </w:trPr>
        <w:tc>
          <w:tcPr>
            <w:tcW w:w="728" w:type="dxa"/>
            <w:vMerge w:val="continue"/>
            <w:tcBorders>
              <w:left w:val="single" w:color="auto" w:sz="4" w:space="0"/>
            </w:tcBorders>
            <w:shd w:val="clear" w:color="auto" w:fill="auto"/>
            <w:noWrap/>
            <w:vAlign w:val="center"/>
          </w:tcPr>
          <w:p w14:paraId="48B4A945">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77D22961">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vAlign w:val="center"/>
          </w:tcPr>
          <w:p w14:paraId="5AE37C33">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vAlign w:val="center"/>
          </w:tcPr>
          <w:p w14:paraId="4C5FB891">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742" w:type="dxa"/>
            <w:vMerge w:val="continue"/>
            <w:tcBorders>
              <w:bottom w:val="single" w:color="auto" w:sz="4" w:space="0"/>
            </w:tcBorders>
            <w:vAlign w:val="center"/>
          </w:tcPr>
          <w:p w14:paraId="35B2763C">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tcBorders>
              <w:bottom w:val="single" w:color="auto" w:sz="4" w:space="0"/>
            </w:tcBorders>
            <w:shd w:val="clear" w:color="auto" w:fill="auto"/>
            <w:vAlign w:val="center"/>
          </w:tcPr>
          <w:p w14:paraId="1401F2BB">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0C5F3E7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right w:val="single" w:color="auto" w:sz="4" w:space="0"/>
            </w:tcBorders>
            <w:vAlign w:val="center"/>
          </w:tcPr>
          <w:p w14:paraId="2D36945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0188229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728" w:type="dxa"/>
            <w:vMerge w:val="continue"/>
            <w:tcBorders>
              <w:left w:val="single" w:color="auto" w:sz="4" w:space="0"/>
            </w:tcBorders>
            <w:shd w:val="clear" w:color="auto" w:fill="auto"/>
            <w:noWrap/>
            <w:vAlign w:val="center"/>
          </w:tcPr>
          <w:p w14:paraId="37B95564">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64967926">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restart"/>
            <w:vAlign w:val="center"/>
          </w:tcPr>
          <w:p w14:paraId="5B4AB891">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Honda CG 125 Fan – HNH - 4533</w:t>
            </w:r>
          </w:p>
        </w:tc>
        <w:tc>
          <w:tcPr>
            <w:tcW w:w="1000" w:type="dxa"/>
            <w:vMerge w:val="restart"/>
            <w:vAlign w:val="center"/>
          </w:tcPr>
          <w:p w14:paraId="7457703C">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1742" w:type="dxa"/>
            <w:vMerge w:val="restart"/>
            <w:tcBorders>
              <w:bottom w:val="single" w:color="auto" w:sz="4" w:space="0"/>
            </w:tcBorders>
            <w:vAlign w:val="center"/>
          </w:tcPr>
          <w:p w14:paraId="60EF5B9E">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461" w:type="dxa"/>
            <w:tcBorders>
              <w:top w:val="single" w:color="auto" w:sz="4" w:space="0"/>
              <w:bottom w:val="single" w:color="auto" w:sz="4" w:space="0"/>
            </w:tcBorders>
            <w:shd w:val="clear" w:color="auto" w:fill="auto"/>
            <w:vAlign w:val="center"/>
          </w:tcPr>
          <w:p w14:paraId="2335591D">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51F779B7">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right w:val="single" w:color="auto" w:sz="4" w:space="0"/>
            </w:tcBorders>
            <w:vAlign w:val="center"/>
          </w:tcPr>
          <w:p w14:paraId="008C9D5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64BA65A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728" w:type="dxa"/>
            <w:vMerge w:val="continue"/>
            <w:tcBorders>
              <w:left w:val="single" w:color="auto" w:sz="4" w:space="0"/>
            </w:tcBorders>
            <w:shd w:val="clear" w:color="auto" w:fill="auto"/>
            <w:noWrap/>
            <w:vAlign w:val="center"/>
          </w:tcPr>
          <w:p w14:paraId="034C6A9A">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6554358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tcPr>
          <w:p w14:paraId="7D44CAFB">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tcPr>
          <w:p w14:paraId="446378D8">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742" w:type="dxa"/>
            <w:vMerge w:val="continue"/>
            <w:vAlign w:val="center"/>
          </w:tcPr>
          <w:p w14:paraId="00E71844">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tcBorders>
              <w:top w:val="single" w:color="auto" w:sz="4" w:space="0"/>
              <w:bottom w:val="single" w:color="auto" w:sz="4" w:space="0"/>
            </w:tcBorders>
            <w:shd w:val="clear" w:color="auto" w:fill="auto"/>
            <w:vAlign w:val="center"/>
          </w:tcPr>
          <w:p w14:paraId="7974D346">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7F431747">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right w:val="single" w:color="auto" w:sz="4" w:space="0"/>
            </w:tcBorders>
            <w:vAlign w:val="center"/>
          </w:tcPr>
          <w:p w14:paraId="0EC0969F">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0FDD32D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728" w:type="dxa"/>
            <w:vMerge w:val="continue"/>
            <w:tcBorders>
              <w:left w:val="single" w:color="auto" w:sz="4" w:space="0"/>
            </w:tcBorders>
            <w:shd w:val="clear" w:color="auto" w:fill="auto"/>
            <w:noWrap/>
            <w:vAlign w:val="center"/>
          </w:tcPr>
          <w:p w14:paraId="3725B0A2">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04273DD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restart"/>
            <w:vAlign w:val="center"/>
          </w:tcPr>
          <w:p w14:paraId="4CC85CE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Honda CG 125 Fan – HNH - 4534</w:t>
            </w:r>
          </w:p>
        </w:tc>
        <w:tc>
          <w:tcPr>
            <w:tcW w:w="1000" w:type="dxa"/>
            <w:vMerge w:val="restart"/>
            <w:vAlign w:val="center"/>
          </w:tcPr>
          <w:p w14:paraId="15868874">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1742" w:type="dxa"/>
            <w:vMerge w:val="restart"/>
            <w:vAlign w:val="center"/>
          </w:tcPr>
          <w:p w14:paraId="05E884F4">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461" w:type="dxa"/>
            <w:tcBorders>
              <w:top w:val="single" w:color="auto" w:sz="4" w:space="0"/>
              <w:bottom w:val="single" w:color="auto" w:sz="4" w:space="0"/>
            </w:tcBorders>
            <w:shd w:val="clear" w:color="auto" w:fill="auto"/>
            <w:vAlign w:val="center"/>
          </w:tcPr>
          <w:p w14:paraId="510A65A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1AE232AC">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right w:val="single" w:color="auto" w:sz="4" w:space="0"/>
            </w:tcBorders>
            <w:vAlign w:val="center"/>
          </w:tcPr>
          <w:p w14:paraId="367DE552">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3E182F8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728" w:type="dxa"/>
            <w:vMerge w:val="continue"/>
            <w:tcBorders>
              <w:left w:val="single" w:color="auto" w:sz="4" w:space="0"/>
            </w:tcBorders>
            <w:shd w:val="clear" w:color="auto" w:fill="auto"/>
            <w:noWrap/>
            <w:vAlign w:val="center"/>
          </w:tcPr>
          <w:p w14:paraId="27C75E2D">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5C487B6C">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vAlign w:val="center"/>
          </w:tcPr>
          <w:p w14:paraId="54E08BC2">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000" w:type="dxa"/>
            <w:vMerge w:val="continue"/>
            <w:vAlign w:val="center"/>
          </w:tcPr>
          <w:p w14:paraId="7A999022">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742" w:type="dxa"/>
            <w:vMerge w:val="continue"/>
            <w:vAlign w:val="center"/>
          </w:tcPr>
          <w:p w14:paraId="5015B2AC">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tcBorders>
              <w:top w:val="single" w:color="auto" w:sz="4" w:space="0"/>
              <w:bottom w:val="single" w:color="auto" w:sz="4" w:space="0"/>
            </w:tcBorders>
            <w:shd w:val="clear" w:color="auto" w:fill="auto"/>
            <w:vAlign w:val="center"/>
          </w:tcPr>
          <w:p w14:paraId="3EC409F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77F368C7">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right w:val="single" w:color="auto" w:sz="4" w:space="0"/>
            </w:tcBorders>
            <w:vAlign w:val="center"/>
          </w:tcPr>
          <w:p w14:paraId="50B16FE7">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r w14:paraId="5D6150C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728" w:type="dxa"/>
            <w:vMerge w:val="continue"/>
            <w:tcBorders>
              <w:left w:val="single" w:color="auto" w:sz="4" w:space="0"/>
            </w:tcBorders>
            <w:shd w:val="clear" w:color="auto" w:fill="auto"/>
            <w:noWrap/>
            <w:vAlign w:val="center"/>
          </w:tcPr>
          <w:p w14:paraId="7A3C99EE">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Pr>
          <w:p w14:paraId="5A1BBAC0">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restart"/>
            <w:vAlign w:val="center"/>
          </w:tcPr>
          <w:p w14:paraId="48E9B7E5">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Honda CG 160 Start – RFQ – 9J54</w:t>
            </w:r>
          </w:p>
        </w:tc>
        <w:tc>
          <w:tcPr>
            <w:tcW w:w="1000" w:type="dxa"/>
            <w:vMerge w:val="restart"/>
            <w:vAlign w:val="center"/>
          </w:tcPr>
          <w:p w14:paraId="3CDD9365">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2020</w:t>
            </w:r>
          </w:p>
        </w:tc>
        <w:tc>
          <w:tcPr>
            <w:tcW w:w="1742" w:type="dxa"/>
            <w:vMerge w:val="restart"/>
            <w:vAlign w:val="center"/>
          </w:tcPr>
          <w:p w14:paraId="12BEE791">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461" w:type="dxa"/>
            <w:tcBorders>
              <w:top w:val="single" w:color="auto" w:sz="4" w:space="0"/>
              <w:bottom w:val="single" w:color="auto" w:sz="4" w:space="0"/>
            </w:tcBorders>
            <w:shd w:val="clear" w:color="auto" w:fill="auto"/>
            <w:vAlign w:val="center"/>
          </w:tcPr>
          <w:p w14:paraId="3A87CF53">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Peças</w:t>
            </w:r>
            <w:r>
              <w:rPr>
                <w:rFonts w:hint="default" w:ascii="Arial" w:hAnsi="Arial" w:cs="Arial"/>
                <w:color w:val="000000"/>
                <w:sz w:val="17"/>
                <w:szCs w:val="17"/>
                <w:lang w:val="pt-BR"/>
              </w:rPr>
              <w:t xml:space="preserve"> </w:t>
            </w:r>
          </w:p>
          <w:p w14:paraId="3D75D377">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378878</w:t>
            </w:r>
          </w:p>
        </w:tc>
        <w:tc>
          <w:tcPr>
            <w:tcW w:w="1360" w:type="dxa"/>
            <w:tcBorders>
              <w:right w:val="single" w:color="auto" w:sz="4" w:space="0"/>
            </w:tcBorders>
            <w:vAlign w:val="center"/>
          </w:tcPr>
          <w:p w14:paraId="3E8E3EC8">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R$ 2.500,00</w:t>
            </w:r>
          </w:p>
        </w:tc>
      </w:tr>
      <w:tr w14:paraId="23E109A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193" w:hRule="atLeast"/>
          <w:jc w:val="center"/>
        </w:trPr>
        <w:tc>
          <w:tcPr>
            <w:tcW w:w="728" w:type="dxa"/>
            <w:vMerge w:val="continue"/>
            <w:tcBorders>
              <w:left w:val="single" w:color="auto" w:sz="4" w:space="0"/>
            </w:tcBorders>
            <w:shd w:val="clear" w:color="auto" w:fill="auto"/>
            <w:noWrap/>
            <w:vAlign w:val="center"/>
          </w:tcPr>
          <w:p w14:paraId="43259552">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213" w:type="dxa"/>
            <w:vMerge w:val="continue"/>
            <w:tcBorders>
              <w:bottom w:val="single" w:color="auto" w:sz="4" w:space="0"/>
            </w:tcBorders>
          </w:tcPr>
          <w:p w14:paraId="388E7A2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3230" w:type="dxa"/>
            <w:vMerge w:val="continue"/>
          </w:tcPr>
          <w:p w14:paraId="6009C796">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p>
        </w:tc>
        <w:tc>
          <w:tcPr>
            <w:tcW w:w="1000" w:type="dxa"/>
            <w:vMerge w:val="continue"/>
          </w:tcPr>
          <w:p w14:paraId="1934698F">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742" w:type="dxa"/>
            <w:vMerge w:val="continue"/>
            <w:tcBorders>
              <w:bottom w:val="single" w:color="auto" w:sz="4" w:space="0"/>
            </w:tcBorders>
            <w:vAlign w:val="center"/>
          </w:tcPr>
          <w:p w14:paraId="7DD5DFF5">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Arial" w:hAnsi="Arial" w:cs="Arial"/>
                <w:color w:val="000000"/>
                <w:sz w:val="17"/>
                <w:szCs w:val="17"/>
              </w:rPr>
            </w:pPr>
          </w:p>
        </w:tc>
        <w:tc>
          <w:tcPr>
            <w:tcW w:w="1461" w:type="dxa"/>
            <w:tcBorders>
              <w:top w:val="single" w:color="auto" w:sz="4" w:space="0"/>
            </w:tcBorders>
            <w:shd w:val="clear" w:color="auto" w:fill="auto"/>
            <w:vAlign w:val="center"/>
          </w:tcPr>
          <w:p w14:paraId="7DB34639">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lang w:val="pt-BR"/>
              </w:rPr>
            </w:pPr>
            <w:r>
              <w:rPr>
                <w:rFonts w:hint="default" w:ascii="Arial" w:hAnsi="Arial" w:cs="Arial"/>
                <w:color w:val="000000"/>
                <w:sz w:val="17"/>
                <w:szCs w:val="17"/>
              </w:rPr>
              <w:t>Serviços</w:t>
            </w:r>
            <w:r>
              <w:rPr>
                <w:rFonts w:hint="default" w:ascii="Arial" w:hAnsi="Arial" w:cs="Arial"/>
                <w:color w:val="000000"/>
                <w:sz w:val="17"/>
                <w:szCs w:val="17"/>
                <w:lang w:val="pt-BR"/>
              </w:rPr>
              <w:t xml:space="preserve"> </w:t>
            </w:r>
          </w:p>
          <w:p w14:paraId="55322C04">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b/>
                <w:sz w:val="17"/>
                <w:szCs w:val="17"/>
              </w:rPr>
              <w:t>Cód.: 125</w:t>
            </w:r>
            <w:r>
              <w:rPr>
                <w:rFonts w:hint="default" w:ascii="Arial" w:hAnsi="Arial" w:cs="Arial"/>
                <w:b/>
                <w:sz w:val="17"/>
                <w:szCs w:val="17"/>
                <w:lang w:val="pt-BR"/>
              </w:rPr>
              <w:t>99</w:t>
            </w:r>
          </w:p>
        </w:tc>
        <w:tc>
          <w:tcPr>
            <w:tcW w:w="1360" w:type="dxa"/>
            <w:tcBorders>
              <w:right w:val="single" w:color="auto" w:sz="4" w:space="0"/>
            </w:tcBorders>
            <w:vAlign w:val="center"/>
          </w:tcPr>
          <w:p w14:paraId="53FB9941">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Arial" w:hAnsi="Arial" w:cs="Arial"/>
                <w:color w:val="000000"/>
                <w:sz w:val="17"/>
                <w:szCs w:val="17"/>
              </w:rPr>
            </w:pPr>
            <w:r>
              <w:rPr>
                <w:rFonts w:hint="default" w:ascii="Arial" w:hAnsi="Arial" w:cs="Arial"/>
                <w:color w:val="000000"/>
                <w:sz w:val="17"/>
                <w:szCs w:val="17"/>
              </w:rPr>
              <w:t xml:space="preserve">R$ </w:t>
            </w:r>
            <w:r>
              <w:rPr>
                <w:rFonts w:hint="default" w:ascii="Arial" w:hAnsi="Arial" w:cs="Arial"/>
                <w:color w:val="000000"/>
                <w:sz w:val="17"/>
                <w:szCs w:val="17"/>
                <w:lang w:val="pt-BR"/>
              </w:rPr>
              <w:t>1.846,60</w:t>
            </w:r>
          </w:p>
        </w:tc>
      </w:tr>
    </w:tbl>
    <w:p w14:paraId="5728345D">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p>
    <w:p w14:paraId="01079735">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lang w:val="pt-BR"/>
        </w:rPr>
      </w:pPr>
      <w:r>
        <w:rPr>
          <w:rFonts w:hint="default" w:ascii="Arial" w:hAnsi="Arial" w:cs="Arial"/>
          <w:sz w:val="17"/>
          <w:szCs w:val="17"/>
          <w:lang w:val="pt-BR"/>
        </w:rPr>
        <w:t>Quantitativo mínimo: 1 Serviço.</w:t>
      </w:r>
    </w:p>
    <w:p w14:paraId="5F62E16B">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p>
    <w:p w14:paraId="47156671">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
          <w:sz w:val="17"/>
          <w:szCs w:val="17"/>
        </w:rPr>
      </w:pPr>
      <w:r>
        <w:rPr>
          <w:rFonts w:hint="default" w:ascii="Arial" w:hAnsi="Arial" w:eastAsia="LiberationSerif-Bold" w:cs="Arial"/>
          <w:b/>
          <w:sz w:val="17"/>
          <w:szCs w:val="17"/>
          <w:lang w:eastAsia="zh-CN"/>
        </w:rPr>
        <w:t>1.</w:t>
      </w:r>
      <w:r>
        <w:rPr>
          <w:rFonts w:hint="default" w:ascii="Arial" w:hAnsi="Arial" w:eastAsia="LiberationSerif-Bold" w:cs="Arial"/>
          <w:b/>
          <w:sz w:val="17"/>
          <w:szCs w:val="17"/>
        </w:rPr>
        <w:t>1. DESCRIÇÃO DOS REQUISITOS DA CONTRATAÇÃO</w:t>
      </w:r>
    </w:p>
    <w:p w14:paraId="22235F36">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Os serviços serão realizados nas dependências da contratada, ou nas dependências do Setor de Transporte, em casos excepcionais, mediante autorização dos Responsáveis (Fiscais da Ata), devendo a mesma permitir livre acesso de representantes da Secretaria, para que se proceda à fiscalização dos trabalhos.</w:t>
      </w:r>
    </w:p>
    <w:p w14:paraId="3BC9BE3B">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Os serviços deverão ser realizados por técnicos treinados para atuarem nos veículos daquela específica marca. Tanto a manutenção corretiva quanto a manutenção preventiva será quando a Secretaria julgar necessário. </w:t>
      </w:r>
    </w:p>
    <w:p w14:paraId="426C13B7">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A Secretaria por meio da Coordenadoria de Transportes encaminhará no máximo cinco veículos por vez para manutenção. A Secretaria poderá alterar quantitativos, sem que isto implique alteração dos preços ofertados. </w:t>
      </w:r>
    </w:p>
    <w:p w14:paraId="2E5196BE">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A Contratada se obriga a cumprir todas as condições e prazo fixados pela Secretaria, assim como a observar, atender, respeitar, cumprir e fazer cumprir a legislação aplicável e a favorecer e garantir a qualidade do objeto. </w:t>
      </w:r>
    </w:p>
    <w:p w14:paraId="764F8F54">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A Ata, bem como os direitos e obrigações dele decorrentes, não poderá ser subcontratado, cedido ou transferido, total ou parcialmente, nem ser executado em associação da CONTRATADA com terceiros, sem autorização prévia da Secretaria, por escrito, sob pena de aplicação de sanção, inclusive rescisão contratual. Os serviços de borracharia, alinhamento/ balanceamento e lanternagem/ pintura poderão ser subcontratados pela oficina contratada, sendo de sua responsabilidade qualquer falha na execução dos serviços ou por emprego de peças inadequadas. </w:t>
      </w:r>
    </w:p>
    <w:p w14:paraId="69936BA5">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Operações de reorganização empresarial, tais como fusão, cisão e incorporação deverão ser comunicadas às Secretarias Municipais e, na hipótese de restar caracterizada a frustração das regras disciplinadoras da licitação, ensejarão a rescisão contratual.</w:t>
      </w:r>
    </w:p>
    <w:p w14:paraId="55AD4E1C">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O orçamento deverá ser detalhado e fornecido previamente, no prazo máximo de 48 (quarenta e oito) horas, contado a partir do recebimento do veículo pela contratada, com exceção dos serviços de reparo no motor (montagem e desmontagem), funilaria e pintura, em que o prazo será de no máximo </w:t>
      </w:r>
      <w:r>
        <w:rPr>
          <w:rFonts w:hint="default" w:ascii="Arial" w:hAnsi="Arial" w:cs="Arial"/>
          <w:color w:val="auto"/>
          <w:sz w:val="17"/>
          <w:szCs w:val="17"/>
        </w:rPr>
        <w:t>10 (dez)</w:t>
      </w:r>
      <w:r>
        <w:rPr>
          <w:rFonts w:hint="default" w:ascii="Arial" w:hAnsi="Arial" w:cs="Arial"/>
          <w:sz w:val="17"/>
          <w:szCs w:val="17"/>
        </w:rPr>
        <w:t xml:space="preserve"> dias úteis. </w:t>
      </w:r>
    </w:p>
    <w:p w14:paraId="0B771340">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Refazer em, no máximo, 24 horas, contados a partir da comunicação, os serviços que forem rejeitados. Não utilizar mão-de-obra de terceiros SEM EXPRESSA E PRÉVIA AUTORIZAÇÃO DO CONTRATANTE, durante a vigência da Ata. </w:t>
      </w:r>
    </w:p>
    <w:p w14:paraId="6FB7A2B6">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Os serviços de manutenção preventiva e corretiva deverão ser executados no prazo máximo de </w:t>
      </w:r>
      <w:r>
        <w:rPr>
          <w:rFonts w:hint="default" w:ascii="Arial" w:hAnsi="Arial" w:cs="Arial"/>
          <w:color w:val="auto"/>
          <w:sz w:val="17"/>
          <w:szCs w:val="17"/>
        </w:rPr>
        <w:t>05 (cinco) dias</w:t>
      </w:r>
      <w:r>
        <w:rPr>
          <w:rFonts w:hint="default" w:ascii="Arial" w:hAnsi="Arial" w:cs="Arial"/>
          <w:sz w:val="17"/>
          <w:szCs w:val="17"/>
        </w:rPr>
        <w:t xml:space="preserve"> a partir da autorização de execução elaboradas Secretarias. O Contratante poderá recusar o orçamento, pedir sua revisão ou aceitá-lo parcialmente, comprometendo-se a Contratada a executar ou fornecer o que for aprovado em todo ou em parte.</w:t>
      </w:r>
    </w:p>
    <w:p w14:paraId="5905E21D">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Entende-se por manutenção preventiva as revisões e serviços de caráter preventivo determinadas pelo fabricante e explicitadas no manual do proprietário com a finalidade de avaliar as condições para o perfeito funcionamento dos veículos, além de detectar possíveis desgastes em peças, acessórios e outros elementos, objetivando manter o veículo em perfeito estado de uso, de acordo com os manuais e normas específicas, incluindo as trocas autorizadas de peças que se fizerem necessárias ao seu bom funcionamento. Esses serviços deverão ser executados de acordo com a quilometragem especificada no manual do proprietário. </w:t>
      </w:r>
    </w:p>
    <w:p w14:paraId="6B6C44E7">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Entende-se por manutenção corretiva as revisões e serviços de caráter corretivo, não previstas no manual do proprietário, mas que existem em função de adversidades em função de uso da unidade automotora, para possibilitar a reparação de defeitos e falhas em qualquer parte do veículo, com substituição de peças e acessórios genuínos, desde que autorizado pelas Secretarias, após verificação inicial pela Coordenadoria de Transportes, bem como serviços de mecânica, lanternagem, eletricidade, capotaria, vidraçaria, lubrificação (troca de óleo), retífica, borracharia, pintura, que se façam necessários para tornar operacional o veículo.</w:t>
      </w:r>
    </w:p>
    <w:p w14:paraId="286E0958">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Esses serviços deverão ser executados de acordo com a necessidade verificada na unidade automotora. A </w:t>
      </w:r>
      <w:r>
        <w:rPr>
          <w:rFonts w:hint="default" w:ascii="Arial" w:hAnsi="Arial" w:cs="Arial"/>
          <w:bCs/>
          <w:sz w:val="17"/>
          <w:szCs w:val="17"/>
        </w:rPr>
        <w:t xml:space="preserve">CONTRATADA </w:t>
      </w:r>
      <w:r>
        <w:rPr>
          <w:rFonts w:hint="default" w:ascii="Arial" w:hAnsi="Arial" w:cs="Arial"/>
          <w:bCs/>
          <w:color w:val="auto"/>
          <w:sz w:val="17"/>
          <w:szCs w:val="17"/>
        </w:rPr>
        <w:t>será responsável por t</w:t>
      </w:r>
      <w:r>
        <w:rPr>
          <w:rFonts w:hint="default" w:ascii="Arial" w:hAnsi="Arial" w:cs="Arial"/>
          <w:color w:val="auto"/>
          <w:sz w:val="17"/>
          <w:szCs w:val="17"/>
        </w:rPr>
        <w:t>ransportar</w:t>
      </w:r>
      <w:r>
        <w:rPr>
          <w:rFonts w:hint="default" w:ascii="Arial" w:hAnsi="Arial" w:cs="Arial"/>
          <w:sz w:val="17"/>
          <w:szCs w:val="17"/>
        </w:rPr>
        <w:t xml:space="preserve"> os veículos da sede das Secretarias até a oficina e da oficina até as sedes das Secretarias. </w:t>
      </w:r>
    </w:p>
    <w:p w14:paraId="3A0991A3">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Entregar os veículos após a execução dos serviços, limpos internamente e externamente e aspirado quando for o caso. Cumprir fielmente o objeto licitado, de forma que os serviços sejam realizados com esmero e perfeição, executando-o sob sua inteira e exclusiva responsabilidade. </w:t>
      </w:r>
    </w:p>
    <w:p w14:paraId="08524C6F">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Zelar pela guarda dos veículos que estiverem na sua responsabilidade, responsabilizando-se por qualquer dano ocorrido aos mesmos. Responsabilizar-se integralmente pelos veículos recebidos do Contratante,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 </w:t>
      </w:r>
    </w:p>
    <w:p w14:paraId="1DA9D725">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Responder, integral e exclusivamente por todos os danos e prejuízos de qualquer natureza causados direta ou indiretamente, por seus empregados, representantes ou prepostos aos bens das Secretarias ou a terceiros, decorrentes de sua culpa ou dolo na execução do objeto licitado, não excluindo ou reduzindo essa responsabilidade da fiscalização ou acompanhamento pelo Contratante.</w:t>
      </w:r>
    </w:p>
    <w:p w14:paraId="294AEE9E">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Arcar com todos os prejuízos resultantes de ações judiciais a que as Secretarias forem compelido a responder por força da futura contratação, incluindo despesas judiciais e honorários advocatícios. Comparecer à sede do contratante, sempre que solicitado, por meio do preposto, no prazo de 24 (vinte e quatro) horas da convocação para esclarecimento de quaisquer problemas relativos aos serviços contratados. </w:t>
      </w:r>
    </w:p>
    <w:p w14:paraId="69EE66C2">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Comunicar imediatamente às Secretarias qualquer irregularidade ou dificuldade que impossibilite a execução do objeto licitado. Executar os serviços contratados somente com prévia autorização do Contratante. Executar quaisquer serviços não relacionados no Termo de Referência considerados essenciais ou imprescindíveis ao funcionamento dos veículos. </w:t>
      </w:r>
    </w:p>
    <w:p w14:paraId="27ADA466">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Indicar, imediatamente à assinatura da Ata e sempre que ocorrer alteração, um preposto com plenos poderes para representá-la, administrativa ou judicialmente, assim como decidir acerca de questões relativas aos serviços, e atender aos chamados da Coordenadoria de Transportes da Secretaria, principalmente em situações de urgência, inclusive nos finais de semana e feriados, por meio de telefonia móvel ou outro meio igualmente eficaz. </w:t>
      </w:r>
    </w:p>
    <w:p w14:paraId="457F2CF6">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Fornecer números telefônicos ou outros meios igualmente eficazes, para contato das Secretarias com o Preposto, ainda que fora do horário normal de expediente, sem que isto gere qualquer custo adicional. Possuir pessoal especializado em manutenção de veículos automotores, para executar os serviços nos veículos de cada marca específica. Entregar na Coordenadoria de Transporte das Secretarias as peças e componentes substituídos, devidamente acondicionadas, no ato da entrega do veículo consertado.</w:t>
      </w:r>
    </w:p>
    <w:p w14:paraId="1FDED44F">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 A Contratada obriga-se a entregar a Secretaria, no ato da assinatura da Ata, na condição de anexos, as tabelas vigentes elaboradas/fornecidas pelos fabricantes dos veículos e utilizadas pelas concessionárias, relativas ao número de horas utilizadas na execução de cada tipo de serviços e relativas, ainda, ao valor das peças e componentes, bem como suas atualizações subsequentes durante a vigência da Ata. </w:t>
      </w:r>
    </w:p>
    <w:p w14:paraId="21CB9E9C">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Fornecer todos os materiais, ferramentas e equipamentos necessários à realização dos serviços, conforme especificações constantes no Termo de Referência. Reparar, corrigir, remover, substituir ou refazer, às suas expensas, no todo ou em parte, os trabalhos nos quais forem detectados defeitos, vícios ou incorreções resultantes da prestação dos serviços, imediatamente ou no prazo estabelecido, sem qualquer custo adicional às Secretarias. </w:t>
      </w:r>
    </w:p>
    <w:p w14:paraId="7504DDA1">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Entregar os serviços objeto do Ata dentro das condições estabelecidas e respeitando os prazos fixados. Executar o Ata responsabilizando-se pela perfeição técnica dos serviços prestados. Fornecer todos os materiais a serem empregados na realização dos serviços, novos, comprovadamente de primeira qualidade. </w:t>
      </w:r>
    </w:p>
    <w:p w14:paraId="04765044">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Cumprir os prazos previstos na Ata ou outros que venham a ser fixados pelas Secretarias. Dirimir qualquer dúvida e prestar esclarecimentos acerca da execução da Ata, durante toda a sua vigência, a pedido das Secretarias. </w:t>
      </w:r>
    </w:p>
    <w:p w14:paraId="4DFAAFDE">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Assegurar e facilitar o acompanhamento e a fiscalização dos serviços objeto da Ata pela equipe da Coordenadoria de Transportes das Secretarias, durante a sua execução. Manter, durante a vigência da Ata, em compatibilidade com as obrigações assumidas, todas as condições de habilitação e qualificação exigidas na licitação, devendo comunicar as Secretarias, imediatamente, qualquer alteração que possa comprometer a continuidade da contratação, bem como substituir os documentos com prazo de validade expirado.</w:t>
      </w:r>
    </w:p>
    <w:p w14:paraId="5D8BC59E">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bCs/>
          <w:sz w:val="17"/>
          <w:szCs w:val="17"/>
        </w:rPr>
        <w:t xml:space="preserve">Possuir oficina bem estruturada, situada a um raio máximo de </w:t>
      </w:r>
      <w:r>
        <w:rPr>
          <w:rFonts w:hint="default" w:ascii="Arial" w:hAnsi="Arial" w:cs="Arial"/>
          <w:bCs/>
          <w:color w:val="auto"/>
          <w:sz w:val="17"/>
          <w:szCs w:val="17"/>
        </w:rPr>
        <w:t>15km</w:t>
      </w:r>
      <w:r>
        <w:rPr>
          <w:rFonts w:hint="default" w:ascii="Arial" w:hAnsi="Arial" w:cs="Arial"/>
          <w:bCs/>
          <w:sz w:val="17"/>
          <w:szCs w:val="17"/>
        </w:rPr>
        <w:t xml:space="preserve"> da sede da Prefeitura Municipal de Cataguases e ainda:</w:t>
      </w:r>
      <w:r>
        <w:rPr>
          <w:rFonts w:hint="default" w:ascii="Arial" w:hAnsi="Arial" w:cs="Arial"/>
          <w:b/>
          <w:bCs/>
          <w:sz w:val="17"/>
          <w:szCs w:val="17"/>
        </w:rPr>
        <w:t xml:space="preserve"> </w:t>
      </w:r>
      <w:r>
        <w:rPr>
          <w:rFonts w:hint="default" w:ascii="Arial" w:hAnsi="Arial" w:cs="Arial"/>
          <w:sz w:val="17"/>
          <w:szCs w:val="17"/>
        </w:rPr>
        <w:t xml:space="preserve">Possuir área útil disponível para receber, com segurança, simultaneamente, no mínimo, 2 (dois) veículos para manutenção. </w:t>
      </w:r>
    </w:p>
    <w:p w14:paraId="44F57F2B">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Possuir os recursos essenciais para que os serviços prestados tenham a técnica qualidade/presteza exigida para os padrões do fabricante dos veículos tais como: Possuir pessoal treinado para executar os serviços nos veículos de cada marca específica; 01 (um) equipamento eletrônico de rastreamento de problemas elétricos/eletrônicos nos veículos; 01 (um) carregador de baterias; 01 (um) teste para análise de baterias; 01 (uma) bancada de teste para bomba elétrica de combustível (gasolina/ álcool); equipamentos para regulagem eletrônica de motor: scanner, teste de bico, ultrassom e multímetro; equipamentos para serviços de suspensão: prensa hidráulica, torquímetro e parquímetro; Elevadores hidráulicos ou elétricos para suspensão dos veículos; Kaptor ou rastreador para a análise de sistemas de injeção eletrônica; Ferramentas adequadas para a realização dos reparos nos veículos com segurança e precisão; 01 (um) equipamento de regulagem de faróis. </w:t>
      </w:r>
    </w:p>
    <w:p w14:paraId="22C7AF2D">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p>
    <w:p w14:paraId="482A0F1B">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sz w:val="17"/>
          <w:szCs w:val="17"/>
        </w:rPr>
      </w:pPr>
      <w:r>
        <w:rPr>
          <w:rFonts w:hint="default" w:ascii="Arial" w:hAnsi="Arial" w:cs="Arial"/>
          <w:b/>
          <w:bCs/>
          <w:sz w:val="17"/>
          <w:szCs w:val="17"/>
        </w:rPr>
        <w:t xml:space="preserve">1.2. SANÇÕES </w:t>
      </w:r>
    </w:p>
    <w:p w14:paraId="389F09C4">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sz w:val="17"/>
          <w:szCs w:val="17"/>
        </w:rPr>
      </w:pPr>
      <w:r>
        <w:rPr>
          <w:rFonts w:hint="default" w:ascii="Arial" w:hAnsi="Arial" w:cs="Arial"/>
          <w:sz w:val="17"/>
          <w:szCs w:val="17"/>
        </w:rPr>
        <w:t>Ficam estabelecidos os seguintes percentuais de multas, aplicáveis quando do descumprimento contratual: 0,3% (zero vírgula três por cento) por dia de atraso na execução dos serviços contratados, ou por dia de atraso no cumprimento de obrigação contratual ou legal, até o 30º (trigésimo) dia, calculados sobre o valor dos serviços contratados, conforme orçamento aprovado, por ocorrência; 10% (dez por cento) sobre o valor dos serviços contratados, conforme orçamento aprovado, no caso de atraso superior a 30 (trinta) dias na execução dos serviços contratados ou no cumprimento de obrigação contratual ou legal, com a possível rescisão contratual; 20% (vinte por cento) sobre o valor dos serviços contratados, conforme orçamento aprovado, na hipótese de a CONTRATADA, injustificadamente, desistir da Ata ou der causa à sua rescisão, bem como nos demais casos de descumprimento contratual, quando as Secretarias, em face da menor gravidade do fato e mediante motivação da autoridade superior, poderá reduzir o percentual da multa a ser aplicada; O valor das multas aplicadas, após regular processo administrativo, será descontado dos pagamentos devidos pelas Secretarias. Se os valores não forem suficientes, a diferença será descontada da garantia prestada ou deverá ser recolhida pela CONTRATADA no prazo máximo de 3 (três) dias úteis a contar da aplicação da sanção; As sanções previstas, em face da gravidade da infração, poderão ser aplicadas cumulativamente, após regular processo administrativo em que se garantirá a observância dos princípios do contraditório e da ampla defesa.</w:t>
      </w:r>
      <w:r>
        <w:rPr>
          <w:rFonts w:hint="default" w:ascii="Arial" w:hAnsi="Arial" w:cs="Arial"/>
          <w:b/>
          <w:bCs/>
          <w:sz w:val="17"/>
          <w:szCs w:val="17"/>
        </w:rPr>
        <w:t xml:space="preserve"> </w:t>
      </w:r>
    </w:p>
    <w:p w14:paraId="48571EE0">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sz w:val="17"/>
          <w:szCs w:val="17"/>
        </w:rPr>
      </w:pPr>
    </w:p>
    <w:p w14:paraId="207CEF84">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sz w:val="17"/>
          <w:szCs w:val="17"/>
        </w:rPr>
      </w:pPr>
    </w:p>
    <w:p w14:paraId="43D05CD2">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sz w:val="17"/>
          <w:szCs w:val="17"/>
        </w:rPr>
      </w:pPr>
      <w:r>
        <w:rPr>
          <w:rFonts w:hint="default" w:ascii="Arial" w:hAnsi="Arial" w:cs="Arial"/>
          <w:b/>
          <w:bCs/>
          <w:sz w:val="17"/>
          <w:szCs w:val="17"/>
        </w:rPr>
        <w:t>1.3. CONDIÇÕES GERAIS</w:t>
      </w:r>
    </w:p>
    <w:p w14:paraId="7C34F73A">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i/>
          <w:sz w:val="17"/>
          <w:szCs w:val="17"/>
          <w:u w:val="single"/>
        </w:rPr>
      </w:pPr>
      <w:r>
        <w:rPr>
          <w:rFonts w:hint="default" w:ascii="Arial" w:hAnsi="Arial" w:cs="Arial"/>
          <w:sz w:val="17"/>
          <w:szCs w:val="17"/>
        </w:rPr>
        <w:t xml:space="preserve">As Secretarias reservam para si o direito de não aceitar ou receber qualquer produto ou serviço em desacordo com o previsto no Termo de Referência. Qualquer tolerância por parte das Secretarias, no que tange ao cumprimento das obrigações ora assumidas pela CONTRATADA, não importará, em hipótese alguma, em alteração contratual, novação, transação ou perdão, permanecendo em pleno vigor todas as condições do ajuste e podendo as Secretarias exigir o seu cumprimento a qualquer tempo. A contratação não estabelece qualquer vínculo de natureza empregatícia ou de responsabilidade entre as Secretarias e os agentes, prepostos, empregados ou demais pessoas da CONTRATADA designadas para a execução do objeto contratado, sendo a CONTRATADA a única responsável por todas as obrigações e encargos decorrentes das de trabalho entre ela e seus profissionais ou contratados, previstos na legislação pátria vigente, seja trabalhista, previdenciária, social, de caráter securitário ou qualquer outra. </w:t>
      </w:r>
    </w:p>
    <w:p w14:paraId="19047114">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p>
    <w:p w14:paraId="35D50B18">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i/>
          <w:sz w:val="17"/>
          <w:szCs w:val="17"/>
          <w:u w:val="single"/>
        </w:rPr>
      </w:pPr>
      <w:r>
        <w:rPr>
          <w:rFonts w:hint="default" w:ascii="Arial" w:hAnsi="Arial" w:cs="Arial"/>
          <w:b/>
          <w:bCs/>
          <w:i/>
          <w:sz w:val="17"/>
          <w:szCs w:val="17"/>
          <w:u w:val="single"/>
        </w:rPr>
        <w:t>Obs:</w:t>
      </w:r>
      <w:r>
        <w:rPr>
          <w:rFonts w:hint="default" w:ascii="Arial" w:hAnsi="Arial" w:cs="Arial"/>
          <w:b/>
          <w:bCs/>
          <w:sz w:val="17"/>
          <w:szCs w:val="17"/>
        </w:rPr>
        <w:t xml:space="preserve">  </w:t>
      </w:r>
      <w:r>
        <w:rPr>
          <w:rFonts w:hint="default" w:ascii="Arial" w:hAnsi="Arial" w:cs="Arial"/>
          <w:b/>
          <w:bCs/>
          <w:i/>
          <w:sz w:val="17"/>
          <w:szCs w:val="17"/>
          <w:u w:val="single"/>
        </w:rPr>
        <w:t xml:space="preserve">Caso seja do interesse do licitante efetuar vistoria nos veículos da frota das Secretarias, a visita deverá ser agendada na Coordenadoria de Transportes da Secretaria Municipal de Saúde de Cataguases, com o Responsável (Roberto Carlos Carrara Theodoro) telefone (32) 3429-2656, Secretaria de Obras, com o Responsável (José Maria Magalhães Sasso) telefone (32) 3429-2599, Secretaria de Serviços Urbanos com o Responsável (João Paulo Santana) telefone (32) 3429-2590 e Secretaria de Agricultura e Meio Ambiente, com o Responsável Tiago Viana Gonçalves dos Santos telefone (32) 3429-2599. </w:t>
      </w:r>
    </w:p>
    <w:p w14:paraId="065FC4A1">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i/>
          <w:sz w:val="17"/>
          <w:szCs w:val="17"/>
          <w:u w:val="single"/>
        </w:rPr>
      </w:pPr>
    </w:p>
    <w:p w14:paraId="7CFC2928">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FUNDAMENTAÇÃO E DESCRIÇÃO DA NECESSIDADE DA CONTRATAÇÃO</w:t>
      </w:r>
    </w:p>
    <w:p w14:paraId="0E3BA3EB">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eastAsia="zh-CN"/>
        </w:rPr>
        <w:t>A Secretaria Municipal de Saúde de Cataguases – MG reconhece a importância de manter sua frota de motocicletas em condições adequadas de funcionamento, tanto para a prestação de serviços essenciais à população quanto para a operação eficaz das atividades diárias. Para garantir a eficiência e a segurança dos veículos oficiais, é fundamental contar com uma empresa especializada que possa fornecer peças de reposição e realizar serviços de manutenção preventiva e corretiva de forma contínua. A contratação de serviços especializados se justifica pela necessidade de assegurar a qualidade e a conformidade das peças utilizadas, que devem ser originais ou genuínas, de acordo com as especificações das montadoras. Além disso, é essencial garantir um atendimento rápido e eficiente, que minimize o tempo de inatividade dos veículos, permitindo que as secretarias cumpram suas responsabilidades de maneira eficaz. Com a implementação deste processo licitatório, buscamos formalizar a aquisição de serviços que atenderão tanto a Secretaria Municipal de Saúde quanto a Secretaria de Serviços Urbanos, possibilitando ajustes conforme a necessidade da frota. Essa flexibilidade é crucial para adaptarmos nossos serviços às demandas variáveis da administração pública, garantindo que a população continue a receber atendimento de qualidade. Assim, a realização desta contratação por meio de um pregão eletrônico para registro de preços é uma solução viável e eficaz, permitindo que a administração pública tenha acesso às melhores condições de fornecimento e serviços, sempre em busca da transparência e da eficiência na gestão de recursos públicos.</w:t>
      </w:r>
    </w:p>
    <w:p w14:paraId="75C8DABC">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7"/>
          <w:szCs w:val="17"/>
          <w:lang w:eastAsia="zh-CN"/>
        </w:rPr>
      </w:pPr>
    </w:p>
    <w:p w14:paraId="184D7FBF">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3.    DESCRIÇÃO DA SOLUÇÃO COMO UM TODO CONSIDERADO O CICLO DE VIDA DO OBJETO E ESPECIFICAÇÃO DO PRODUTO. </w:t>
      </w:r>
    </w:p>
    <w:p w14:paraId="1A7C9DBA">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eastAsia="zh-CN"/>
        </w:rPr>
        <w:t>A solução proposta visa a contratação de uma empresa especializada para o fornecimento de peças e a prestação de serviços de manutenção preventiva e corretiva para a frota de motocicletas das Secretarias Municipais de Saúde e de Serviços Urbanos de Cataguases – MG. Essa abordagem garantirá que os veículos estejam sempre em condições adequadas de uso, contribuindo para a eficácia nas operações diárias e no atendimento à população. A escolha de uma licitação na forma eletrônica, através de um pregão para registro de preços, possibilita maior transparência e competitividade, assegurando que as melhores propostas sejam selecionadas. A utilização de peças genuínas da fabricante ou originais de fábrica garantirá a qualidade e a durabilidade dos serviços prestados. Com a flexibilidade de incluir ou excluir veículos conforme necessário, a solução se adapta às demandas variáveis das Secretarias, assegurando que a frota esteja sempre pronta para atender às necessidades da comunidade. Dessa forma, a contratação não apenas resolve questões operacionais, mas também promove a eficiência na gestão dos recursos públicos, refletindo o compromisso da administração com a qualidade e a responsabilidade no atendimento às necessidades da população.</w:t>
      </w:r>
    </w:p>
    <w:p w14:paraId="7B3C092E">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7"/>
          <w:szCs w:val="17"/>
          <w:lang w:eastAsia="zh-CN"/>
        </w:rPr>
      </w:pPr>
    </w:p>
    <w:p w14:paraId="4D377031">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bCs w:val="0"/>
          <w:sz w:val="17"/>
          <w:szCs w:val="17"/>
        </w:rPr>
        <w:t>4.</w:t>
      </w:r>
      <w:r>
        <w:rPr>
          <w:rFonts w:hint="default" w:ascii="Arial" w:hAnsi="Arial" w:cs="Arial"/>
          <w:sz w:val="17"/>
          <w:szCs w:val="17"/>
        </w:rPr>
        <w:t xml:space="preserve"> REQUISITOS DA CONTRATAÇÃO/ SUSTENTABILIDADE </w:t>
      </w:r>
    </w:p>
    <w:p w14:paraId="14039333">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Além dos critérios de sustentabilidade eventualmente inseridos na descrição do objeto, devem ser atendidos os seguintes requisitos, que se baseiam no Guia Nacional de Contratações Sustentáveis. </w:t>
      </w:r>
    </w:p>
    <w:p w14:paraId="0FBCC110">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p>
    <w:p w14:paraId="6D464632">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rPr>
        <w:t xml:space="preserve">4.1. SUBCONTRATAÇÃO </w:t>
      </w:r>
    </w:p>
    <w:p w14:paraId="13568586">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7"/>
          <w:szCs w:val="17"/>
        </w:rPr>
      </w:pPr>
      <w:r>
        <w:rPr>
          <w:rFonts w:hint="default" w:ascii="Arial" w:hAnsi="Arial" w:cs="Arial"/>
          <w:color w:val="auto"/>
          <w:sz w:val="17"/>
          <w:szCs w:val="17"/>
        </w:rPr>
        <w:t>Será admitida a subcontratação de mão-de-obra de terceiros somente com EXPRESSA E PRÉVIA AUTORIZAÇÃO DO CONTRATANTE.</w:t>
      </w:r>
    </w:p>
    <w:p w14:paraId="3431CA9F">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7"/>
          <w:szCs w:val="17"/>
        </w:rPr>
      </w:pPr>
    </w:p>
    <w:p w14:paraId="4E6E070D">
      <w:pPr>
        <w:pStyle w:val="221"/>
        <w:keepNext/>
        <w:keepLines/>
        <w:pageBreakBefore w:val="0"/>
        <w:widowControl/>
        <w:numPr>
          <w:ilvl w:val="0"/>
          <w:numId w:val="19"/>
        </w:numPr>
        <w:tabs>
          <w:tab w:val="left" w:pos="567"/>
        </w:tabs>
        <w:kinsoku/>
        <w:wordWrap/>
        <w:overflowPunct/>
        <w:topLinePunct w:val="0"/>
        <w:bidi w:val="0"/>
        <w:snapToGrid/>
        <w:spacing w:line="360" w:lineRule="auto"/>
        <w:ind w:left="0" w:leftChars="0" w:right="0" w:firstLine="0" w:firstLineChars="0"/>
        <w:contextualSpacing w:val="0"/>
        <w:jc w:val="both"/>
        <w:textAlignment w:val="auto"/>
        <w:outlineLvl w:val="0"/>
        <w:rPr>
          <w:rFonts w:hint="default" w:ascii="Arial" w:hAnsi="Arial" w:cs="Arial" w:eastAsiaTheme="majorEastAsia"/>
          <w:b/>
          <w:bCs/>
          <w:vanish/>
          <w:sz w:val="17"/>
          <w:szCs w:val="17"/>
          <w:lang w:eastAsia="pt-BR"/>
        </w:rPr>
      </w:pPr>
    </w:p>
    <w:p w14:paraId="46554887">
      <w:pPr>
        <w:pStyle w:val="221"/>
        <w:keepNext/>
        <w:keepLines/>
        <w:pageBreakBefore w:val="0"/>
        <w:widowControl/>
        <w:numPr>
          <w:ilvl w:val="0"/>
          <w:numId w:val="19"/>
        </w:numPr>
        <w:tabs>
          <w:tab w:val="left" w:pos="567"/>
        </w:tabs>
        <w:kinsoku/>
        <w:wordWrap/>
        <w:overflowPunct/>
        <w:topLinePunct w:val="0"/>
        <w:bidi w:val="0"/>
        <w:snapToGrid/>
        <w:spacing w:line="360" w:lineRule="auto"/>
        <w:ind w:left="0" w:leftChars="0" w:right="0" w:firstLine="0" w:firstLineChars="0"/>
        <w:contextualSpacing w:val="0"/>
        <w:jc w:val="both"/>
        <w:textAlignment w:val="auto"/>
        <w:outlineLvl w:val="0"/>
        <w:rPr>
          <w:rFonts w:hint="default" w:ascii="Arial" w:hAnsi="Arial" w:cs="Arial" w:eastAsiaTheme="majorEastAsia"/>
          <w:b/>
          <w:bCs/>
          <w:vanish/>
          <w:sz w:val="17"/>
          <w:szCs w:val="17"/>
          <w:lang w:eastAsia="pt-BR"/>
        </w:rPr>
      </w:pPr>
    </w:p>
    <w:p w14:paraId="12EDA11D">
      <w:pPr>
        <w:pStyle w:val="221"/>
        <w:pageBreakBefore w:val="0"/>
        <w:widowControl/>
        <w:numPr>
          <w:ilvl w:val="1"/>
          <w:numId w:val="19"/>
        </w:numPr>
        <w:kinsoku/>
        <w:wordWrap/>
        <w:overflowPunct/>
        <w:topLinePunct w:val="0"/>
        <w:bidi w:val="0"/>
        <w:snapToGrid/>
        <w:spacing w:line="360" w:lineRule="auto"/>
        <w:ind w:left="0" w:leftChars="0" w:right="0" w:firstLine="0" w:firstLineChars="0"/>
        <w:contextualSpacing w:val="0"/>
        <w:jc w:val="both"/>
        <w:textAlignment w:val="auto"/>
        <w:rPr>
          <w:rFonts w:hint="default" w:ascii="Arial" w:hAnsi="Arial" w:cs="Arial" w:eastAsiaTheme="minorEastAsia"/>
          <w:vanish/>
          <w:color w:val="000000"/>
          <w:sz w:val="17"/>
          <w:szCs w:val="17"/>
          <w:lang w:eastAsia="pt-BR"/>
        </w:rPr>
      </w:pPr>
    </w:p>
    <w:p w14:paraId="27960E8B">
      <w:pPr>
        <w:pStyle w:val="304"/>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lang w:val="pt-BR"/>
        </w:rPr>
        <w:t>4.2.</w:t>
      </w:r>
      <w:r>
        <w:rPr>
          <w:rFonts w:hint="default" w:ascii="Arial" w:hAnsi="Arial" w:cs="Arial"/>
          <w:b/>
          <w:sz w:val="17"/>
          <w:szCs w:val="17"/>
        </w:rPr>
        <w:t>GARANTIA DA CONTRATAÇÃO</w:t>
      </w:r>
    </w:p>
    <w:p w14:paraId="628A1BB3">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color w:val="auto"/>
          <w:sz w:val="17"/>
          <w:szCs w:val="17"/>
        </w:rPr>
        <w:t>Será exigida garantia mínima de 90 (noventa) dias</w:t>
      </w:r>
      <w:r>
        <w:rPr>
          <w:rFonts w:hint="default" w:ascii="Arial" w:hAnsi="Arial" w:cs="Arial"/>
          <w:sz w:val="17"/>
          <w:szCs w:val="17"/>
        </w:rPr>
        <w:t xml:space="preserve"> para os serviços e</w:t>
      </w:r>
      <w:r>
        <w:rPr>
          <w:rFonts w:hint="default" w:ascii="Arial" w:hAnsi="Arial" w:eastAsia="LiberationSerif-Bold" w:cs="Arial"/>
          <w:bCs/>
          <w:sz w:val="17"/>
          <w:szCs w:val="17"/>
          <w:lang w:eastAsia="zh-CN"/>
        </w:rPr>
        <w:t xml:space="preserve"> das peças e acessórios não poderá ser inferior a 06 (seis) meses</w:t>
      </w:r>
      <w:r>
        <w:rPr>
          <w:rFonts w:hint="default" w:ascii="Arial" w:hAnsi="Arial" w:cs="Arial"/>
          <w:sz w:val="17"/>
          <w:szCs w:val="17"/>
        </w:rPr>
        <w:t xml:space="preserve">. </w:t>
      </w:r>
    </w:p>
    <w:p w14:paraId="7B046E0A">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p>
    <w:p w14:paraId="3CAE3D40">
      <w:pPr>
        <w:pStyle w:val="304"/>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lang w:val="pt-BR"/>
        </w:rPr>
        <w:t xml:space="preserve">4.3. </w:t>
      </w:r>
      <w:r>
        <w:rPr>
          <w:rFonts w:hint="default" w:ascii="Arial" w:hAnsi="Arial" w:cs="Arial"/>
          <w:b/>
          <w:sz w:val="17"/>
          <w:szCs w:val="17"/>
        </w:rPr>
        <w:t xml:space="preserve">DA INDICAÇÃO DE MARCAS OU MODELOS </w:t>
      </w:r>
    </w:p>
    <w:p w14:paraId="2761A336">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Não há a necessidade de indicação de marca específica para este objeto, desde que as marcas ofertantes sejam do fabricante/montadora (peças e acessórios) da marca dos veículos ou peças originais de fábrica, atendendo as especificações. </w:t>
      </w:r>
    </w:p>
    <w:p w14:paraId="1E44E7E3">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Os modelos seguem descritos neste TR, assim como no ETP anexo a este.</w:t>
      </w:r>
    </w:p>
    <w:p w14:paraId="085E267D">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w:t>
      </w:r>
    </w:p>
    <w:p w14:paraId="42DC912C">
      <w:pPr>
        <w:pStyle w:val="304"/>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lang w:val="pt-BR"/>
        </w:rPr>
        <w:t xml:space="preserve">4.4. </w:t>
      </w:r>
      <w:r>
        <w:rPr>
          <w:rFonts w:hint="default" w:ascii="Arial" w:hAnsi="Arial" w:cs="Arial"/>
          <w:b/>
          <w:sz w:val="17"/>
          <w:szCs w:val="17"/>
        </w:rPr>
        <w:t>DA VEDAÇÃO DE MARCAS OU MODELOS</w:t>
      </w:r>
    </w:p>
    <w:p w14:paraId="1E16FD6E">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Não se aplica neste caso, desde que atenda as especificações.</w:t>
      </w:r>
    </w:p>
    <w:p w14:paraId="2FB96C13">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p>
    <w:p w14:paraId="116BC1B7">
      <w:pPr>
        <w:pStyle w:val="304"/>
        <w:keepNext w:val="0"/>
        <w:keepLines w:val="0"/>
        <w:pageBreakBefore w:val="0"/>
        <w:widowControl/>
        <w:kinsoku/>
        <w:wordWrap/>
        <w:overflowPunct/>
        <w:topLinePunct w:val="0"/>
        <w:autoSpaceDE/>
        <w:autoSpaceDN/>
        <w:bidi w:val="0"/>
        <w:adjustRightInd/>
        <w:snapToGrid/>
        <w:spacing w:before="0" w:after="0" w:line="36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lang w:val="pt-BR"/>
        </w:rPr>
        <w:t xml:space="preserve">4.5. </w:t>
      </w:r>
      <w:r>
        <w:rPr>
          <w:rFonts w:hint="default" w:ascii="Arial" w:hAnsi="Arial" w:cs="Arial"/>
          <w:b/>
          <w:sz w:val="17"/>
          <w:szCs w:val="17"/>
        </w:rPr>
        <w:t>DA VEDAÇÃO DE CONTRATAÇÃO DE MARCA OU PRODUTO</w:t>
      </w:r>
    </w:p>
    <w:p w14:paraId="4355FD8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Não se aplica neste caso, desde que atenda as especificações.</w:t>
      </w:r>
    </w:p>
    <w:p w14:paraId="0A72124A">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p>
    <w:p w14:paraId="2AA1B512">
      <w:pPr>
        <w:pStyle w:val="304"/>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lang w:val="pt-BR"/>
        </w:rPr>
        <w:t xml:space="preserve">4.6. </w:t>
      </w:r>
      <w:r>
        <w:rPr>
          <w:rFonts w:hint="default" w:ascii="Arial" w:hAnsi="Arial" w:cs="Arial"/>
          <w:b/>
          <w:sz w:val="17"/>
          <w:szCs w:val="17"/>
        </w:rPr>
        <w:t>DA EXIGÊNCIA DE AMOSTRA</w:t>
      </w:r>
    </w:p>
    <w:p w14:paraId="161CE937">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Para esta aquisição não se faz necessária o prévio envio de amostras. </w:t>
      </w:r>
    </w:p>
    <w:p w14:paraId="0722AD56">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p>
    <w:p w14:paraId="6F40FBDF">
      <w:pPr>
        <w:pStyle w:val="279"/>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sz w:val="17"/>
          <w:szCs w:val="17"/>
          <w:lang w:val="pt-BR"/>
        </w:rPr>
        <w:t>5.</w:t>
      </w:r>
      <w:r>
        <w:rPr>
          <w:rFonts w:hint="default" w:ascii="Arial" w:hAnsi="Arial" w:cs="Arial"/>
          <w:sz w:val="17"/>
          <w:szCs w:val="17"/>
        </w:rPr>
        <w:t>DAS CONDIÇÕES DE ENTREGA</w:t>
      </w:r>
    </w:p>
    <w:p w14:paraId="51657D21">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parcelamento dos serviços será conforme a demanda e disponibilidade orçamentária.</w:t>
      </w:r>
    </w:p>
    <w:p w14:paraId="00C85202">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22AD11A7">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6294B780">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Se a qualidade dos serviços não corresponderem às especificações exigidas não será aceita, devendo ser substituída no prazo máximo de 05 (cinco) dias. </w:t>
      </w:r>
    </w:p>
    <w:p w14:paraId="7EFF401F">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serviços deverão ser entregues acompanhados da nota fiscal. </w:t>
      </w:r>
    </w:p>
    <w:p w14:paraId="3E320603">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p>
    <w:p w14:paraId="1DD709AC">
      <w:pPr>
        <w:pStyle w:val="279"/>
        <w:pageBreakBefore w:val="0"/>
        <w:widowControl/>
        <w:numPr>
          <w:ilvl w:val="0"/>
          <w:numId w:val="2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sz w:val="17"/>
          <w:szCs w:val="17"/>
        </w:rPr>
        <w:t>DA GARANTIA DOS OBJETOS</w:t>
      </w:r>
    </w:p>
    <w:p w14:paraId="042A325B">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 prazo de garantia é aquele estabelecido na Lei n° 8.078 de 11 de Setembro de 1990 (Código de Defesa do Consumidor). </w:t>
      </w:r>
    </w:p>
    <w:p w14:paraId="5E431D91">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substituir no local indicado para entrega, sem nenhum custo adicional, durante o prazo de garantia, os produtos que apresentarem defeitos de fabricação.</w:t>
      </w:r>
    </w:p>
    <w:p w14:paraId="0ED94BCF">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p>
    <w:p w14:paraId="7DD748A3">
      <w:pPr>
        <w:pStyle w:val="279"/>
        <w:pageBreakBefore w:val="0"/>
        <w:widowControl/>
        <w:numPr>
          <w:ilvl w:val="0"/>
          <w:numId w:val="20"/>
        </w:numPr>
        <w:kinsoku/>
        <w:wordWrap/>
        <w:overflowPunct/>
        <w:topLinePunct w:val="0"/>
        <w:bidi w:val="0"/>
        <w:snapToGrid/>
        <w:spacing w:before="0" w:after="0" w:line="360" w:lineRule="auto"/>
        <w:ind w:left="360" w:leftChars="0" w:right="0" w:rightChars="0" w:hanging="360" w:firstLineChars="0"/>
        <w:textAlignment w:val="auto"/>
        <w:rPr>
          <w:rFonts w:hint="default" w:ascii="Arial" w:hAnsi="Arial" w:cs="Arial"/>
          <w:sz w:val="17"/>
          <w:szCs w:val="17"/>
        </w:rPr>
      </w:pPr>
      <w:r>
        <w:rPr>
          <w:rFonts w:hint="default" w:ascii="Arial" w:hAnsi="Arial" w:cs="Arial"/>
          <w:sz w:val="17"/>
          <w:szCs w:val="17"/>
        </w:rPr>
        <w:t xml:space="preserve">DAS OBRIGAÇÕES DA CONTRATADA </w:t>
      </w:r>
    </w:p>
    <w:p w14:paraId="3B21D9A1">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fornecer o objeto segundo a descrição do produto licitado, nas quantidades descriminadas na Autorização de Fornecimento enviada previamente.</w:t>
      </w:r>
    </w:p>
    <w:p w14:paraId="5991A0D1">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4497BD8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60F3133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Durante a vigência da Ata, a entrega ocorrerá de forma parcelada, de acordo com as Autorizações de Fornecimento.</w:t>
      </w:r>
    </w:p>
    <w:p w14:paraId="680802E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prestar informações e esclarecimentos que venham a ser solicitados pela CONTRATANTE.</w:t>
      </w:r>
    </w:p>
    <w:p w14:paraId="1620F81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CONTRATADA se responsabilizará, pelo fornecimento de toda documentação, manuais, termos de garantia, certificados. </w:t>
      </w:r>
    </w:p>
    <w:p w14:paraId="3BC21BB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CONTRATADA deverá dar ciência imediata e por escrito à CONTRATANTE sobre qualquer anormalidade que possa afetar a execução da Ata. </w:t>
      </w:r>
    </w:p>
    <w:p w14:paraId="6904FB0C">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atender prontamente qualquer reclamação, exigência ou observação realizada pela CONTRATANTE.</w:t>
      </w:r>
    </w:p>
    <w:p w14:paraId="7FA9901A">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p>
    <w:p w14:paraId="0137F728">
      <w:pPr>
        <w:pStyle w:val="279"/>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sz w:val="17"/>
          <w:szCs w:val="17"/>
          <w:lang w:val="pt-BR"/>
        </w:rPr>
        <w:t xml:space="preserve">8. </w:t>
      </w:r>
      <w:r>
        <w:rPr>
          <w:rFonts w:hint="default" w:ascii="Arial" w:hAnsi="Arial" w:cs="Arial"/>
          <w:sz w:val="17"/>
          <w:szCs w:val="17"/>
        </w:rPr>
        <w:t>DAS OBRIGAÇÕES DA CONTRATANTE</w:t>
      </w:r>
    </w:p>
    <w:p w14:paraId="10075E8E">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CONTRATANTE deverá fornecer todos os esclarecimentos necessários à execução dos serviços contratados. </w:t>
      </w:r>
    </w:p>
    <w:p w14:paraId="20939C70">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deverá acompanhar e fiscalizar os serviços, sob os aspectos quantitativos e qualitativos, anotando em registro próprio as falhas detectadas e comunicando ocorrências de quaisquer fatos que exijam medidas corretivas por parte da contratada.</w:t>
      </w:r>
    </w:p>
    <w:p w14:paraId="0E15028B">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deverá expedir, por meio da Coordenadoria de Transportes, atestado de inspeção dos serviços prestados, que servirá como instrumento de avaliação do cumprimento das obrigações contratuais e constituirá documento indispensável para a liberação dos pagamentos.</w:t>
      </w:r>
    </w:p>
    <w:p w14:paraId="777DC6A1">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deverá atestar a execução do objeto contratado no documento fiscal correspondente.</w:t>
      </w:r>
    </w:p>
    <w:p w14:paraId="3BEFBA32">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deverá fiscalizar a execução da Ata, o que não fará cessar ou diminuir a responsabilidade da CONTRATADA pelo perfeito cumprimento das obrigações estipuladas, nem por quaisquer danos, inclusive quanto a terceiros, ou por irregularidades constatadas.</w:t>
      </w:r>
    </w:p>
    <w:p w14:paraId="26B3E3DF">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CONTRATANTE deverá efetuar o pagamento da Nota fiscal nos prazos acordados na Ata. </w:t>
      </w:r>
    </w:p>
    <w:p w14:paraId="098FC491">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2D360087">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não se obriga a realizar a aquisição do quantitativo total;</w:t>
      </w:r>
    </w:p>
    <w:p w14:paraId="54685B5C">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poderá rejeitar, no todo ou em parte, o objeto em desacordo com as especificações e condições deste Termo de Referência.</w:t>
      </w:r>
    </w:p>
    <w:p w14:paraId="7D4E7B15">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deverá sustar, no todo ou em parte, a execução dos serviços, sempre que a medida for considerada necessária.</w:t>
      </w:r>
    </w:p>
    <w:p w14:paraId="1AB1FCD9">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deverá decidir acerca das questões que se apresentarem durante a execução dos serviços.</w:t>
      </w:r>
    </w:p>
    <w:p w14:paraId="1E0C5D81">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p>
    <w:p w14:paraId="0920014E">
      <w:pPr>
        <w:pStyle w:val="279"/>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sz w:val="17"/>
          <w:szCs w:val="17"/>
          <w:lang w:val="pt-BR"/>
        </w:rPr>
        <w:t>9.</w:t>
      </w:r>
      <w:r>
        <w:rPr>
          <w:rFonts w:hint="default" w:ascii="Arial" w:hAnsi="Arial" w:cs="Arial"/>
          <w:sz w:val="17"/>
          <w:szCs w:val="17"/>
        </w:rPr>
        <w:t>DA FISCALIZAÇÃO DA ATA</w:t>
      </w:r>
    </w:p>
    <w:p w14:paraId="10CCCE91">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fiscalização da ATA:</w:t>
      </w:r>
    </w:p>
    <w:p w14:paraId="4EA575DD">
      <w:pPr>
        <w:pStyle w:val="307"/>
        <w:pageBreakBefore w:val="0"/>
        <w:widowControl/>
        <w:numPr>
          <w:ilvl w:val="0"/>
          <w:numId w:val="21"/>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Roberto Carlos Carrara Theodoro.</w:t>
      </w:r>
    </w:p>
    <w:p w14:paraId="698CF632">
      <w:pPr>
        <w:pStyle w:val="307"/>
        <w:pageBreakBefore w:val="0"/>
        <w:widowControl/>
        <w:numPr>
          <w:ilvl w:val="0"/>
          <w:numId w:val="21"/>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José Maria Magalhães Sasso.</w:t>
      </w:r>
    </w:p>
    <w:p w14:paraId="594057B4">
      <w:pPr>
        <w:pStyle w:val="307"/>
        <w:pageBreakBefore w:val="0"/>
        <w:widowControl/>
        <w:numPr>
          <w:ilvl w:val="0"/>
          <w:numId w:val="21"/>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João Paulo Santana.</w:t>
      </w:r>
    </w:p>
    <w:p w14:paraId="689D82E0">
      <w:pPr>
        <w:pStyle w:val="307"/>
        <w:pageBreakBefore w:val="0"/>
        <w:widowControl/>
        <w:numPr>
          <w:ilvl w:val="0"/>
          <w:numId w:val="21"/>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Tiago Viana Gonçalves dos Santos.</w:t>
      </w:r>
    </w:p>
    <w:p w14:paraId="5759B907">
      <w:pPr>
        <w:pStyle w:val="307"/>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p>
    <w:p w14:paraId="5EACE616">
      <w:pPr>
        <w:pStyle w:val="279"/>
        <w:pageBreakBefore w:val="0"/>
        <w:widowControl/>
        <w:numPr>
          <w:ilvl w:val="0"/>
          <w:numId w:val="13"/>
        </w:numPr>
        <w:kinsoku/>
        <w:wordWrap/>
        <w:overflowPunct/>
        <w:topLinePunct w:val="0"/>
        <w:bidi w:val="0"/>
        <w:snapToGrid/>
        <w:spacing w:before="0" w:after="0" w:line="360" w:lineRule="auto"/>
        <w:ind w:left="426" w:leftChars="0" w:right="0" w:rightChars="0" w:hanging="426" w:firstLineChars="0"/>
        <w:textAlignment w:val="auto"/>
        <w:rPr>
          <w:rFonts w:hint="default" w:ascii="Arial" w:hAnsi="Arial" w:cs="Arial"/>
          <w:sz w:val="17"/>
          <w:szCs w:val="17"/>
        </w:rPr>
      </w:pPr>
      <w:r>
        <w:rPr>
          <w:rFonts w:hint="default" w:ascii="Arial" w:hAnsi="Arial" w:cs="Arial"/>
          <w:sz w:val="17"/>
          <w:szCs w:val="17"/>
        </w:rPr>
        <w:t>RESPONSÁVEL PELA COTAÇÃO DE PREÇOS</w:t>
      </w:r>
    </w:p>
    <w:p w14:paraId="1E8BC616">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7"/>
          <w:szCs w:val="17"/>
          <w:lang w:eastAsia="pt-BR"/>
        </w:rPr>
      </w:pPr>
      <w:r>
        <w:rPr>
          <w:rFonts w:hint="default" w:ascii="Arial" w:hAnsi="Arial" w:cs="Arial"/>
          <w:sz w:val="17"/>
          <w:szCs w:val="17"/>
          <w:lang w:eastAsia="pt-BR"/>
        </w:rPr>
        <w:t>Cotação de preços:</w:t>
      </w:r>
    </w:p>
    <w:p w14:paraId="0AB9FC89">
      <w:pPr>
        <w:pStyle w:val="221"/>
        <w:pageBreakBefore w:val="0"/>
        <w:widowControl/>
        <w:numPr>
          <w:ilvl w:val="0"/>
          <w:numId w:val="21"/>
        </w:numPr>
        <w:kinsoku/>
        <w:wordWrap/>
        <w:overflowPunct/>
        <w:topLinePunct w:val="0"/>
        <w:bidi w:val="0"/>
        <w:snapToGrid/>
        <w:spacing w:line="360" w:lineRule="auto"/>
        <w:ind w:left="0" w:leftChars="0" w:right="0" w:firstLine="0" w:firstLineChars="0"/>
        <w:textAlignment w:val="auto"/>
        <w:rPr>
          <w:rFonts w:hint="default" w:ascii="Arial" w:hAnsi="Arial" w:cs="Arial"/>
          <w:sz w:val="17"/>
          <w:szCs w:val="17"/>
          <w:lang w:eastAsia="pt-BR"/>
        </w:rPr>
      </w:pPr>
      <w:r>
        <w:rPr>
          <w:rFonts w:hint="default" w:ascii="Arial" w:hAnsi="Arial" w:cs="Arial"/>
          <w:sz w:val="17"/>
          <w:szCs w:val="17"/>
          <w:lang w:eastAsia="pt-BR"/>
        </w:rPr>
        <w:t>Clélio Nunes Simões</w:t>
      </w:r>
    </w:p>
    <w:p w14:paraId="3633CA5F">
      <w:pPr>
        <w:pStyle w:val="221"/>
        <w:pageBreakBefore w:val="0"/>
        <w:widowControl/>
        <w:numPr>
          <w:ilvl w:val="0"/>
          <w:numId w:val="0"/>
        </w:numPr>
        <w:kinsoku/>
        <w:wordWrap/>
        <w:overflowPunct/>
        <w:topLinePunct w:val="0"/>
        <w:bidi w:val="0"/>
        <w:snapToGrid/>
        <w:spacing w:line="360" w:lineRule="auto"/>
        <w:ind w:leftChars="0" w:right="0" w:rightChars="0"/>
        <w:textAlignment w:val="auto"/>
        <w:rPr>
          <w:rFonts w:hint="default" w:ascii="Arial" w:hAnsi="Arial" w:cs="Arial"/>
          <w:sz w:val="17"/>
          <w:szCs w:val="17"/>
          <w:lang w:eastAsia="pt-BR"/>
        </w:rPr>
      </w:pPr>
    </w:p>
    <w:p w14:paraId="7FA6444D">
      <w:pPr>
        <w:pStyle w:val="279"/>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sz w:val="17"/>
          <w:szCs w:val="17"/>
          <w:lang w:val="pt-BR"/>
        </w:rPr>
        <w:t xml:space="preserve">11. </w:t>
      </w:r>
      <w:r>
        <w:rPr>
          <w:rFonts w:hint="default" w:ascii="Arial" w:hAnsi="Arial" w:cs="Arial"/>
          <w:sz w:val="17"/>
          <w:szCs w:val="17"/>
        </w:rPr>
        <w:t xml:space="preserve"> RECEBIMENTO</w:t>
      </w:r>
    </w:p>
    <w:p w14:paraId="4E07AE61">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Os objetos serão recebidos de forma provisória, sumária, no ato da entrega juntamente com a Nota Fiscal ou instrumento de cobrança equivalente, pelo responsável pelo acompanhamento e fiscalização da Ata, para efeito de posterior verificação de sua conformidade com as especificações constantes no Termo de Referência e na proposta.</w:t>
      </w:r>
    </w:p>
    <w:p w14:paraId="61FBC50C">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right="0" w:rightChars="0"/>
        <w:textAlignment w:val="auto"/>
        <w:rPr>
          <w:rFonts w:hint="default" w:ascii="Arial" w:hAnsi="Arial" w:cs="Arial"/>
          <w:sz w:val="17"/>
          <w:szCs w:val="17"/>
          <w:lang w:val="pt-BR"/>
        </w:rPr>
      </w:pPr>
    </w:p>
    <w:p w14:paraId="09362B28">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right="0" w:rightChars="0"/>
        <w:textAlignment w:val="auto"/>
        <w:rPr>
          <w:rFonts w:hint="default" w:ascii="Arial" w:hAnsi="Arial" w:cs="Arial"/>
          <w:sz w:val="17"/>
          <w:szCs w:val="17"/>
        </w:rPr>
      </w:pPr>
      <w:r>
        <w:rPr>
          <w:rFonts w:hint="default" w:ascii="Arial" w:hAnsi="Arial" w:cs="Arial"/>
          <w:sz w:val="17"/>
          <w:szCs w:val="17"/>
          <w:lang w:val="pt-BR"/>
        </w:rPr>
        <w:t>12.</w:t>
      </w:r>
      <w:r>
        <w:rPr>
          <w:rFonts w:hint="default" w:ascii="Arial" w:hAnsi="Arial" w:cs="Arial"/>
          <w:sz w:val="17"/>
          <w:szCs w:val="17"/>
        </w:rPr>
        <w:t xml:space="preserve"> LIQUIDAÇÃO</w:t>
      </w:r>
    </w:p>
    <w:p w14:paraId="6AA619AB">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Quando for constatada qualquer irregularidade na Nota Fiscal, será imediatamente solicitada à empresa adjudicatária carta de correção quando couber, ou ainda pertinente regularização, que deverá ser encaminhada no prazo máximo de 02 dias úteis.</w:t>
      </w:r>
    </w:p>
    <w:p w14:paraId="14CC8540">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p>
    <w:p w14:paraId="7404ED7E">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sz w:val="17"/>
          <w:szCs w:val="17"/>
          <w:lang w:val="pt-BR"/>
        </w:rPr>
        <w:t>13.</w:t>
      </w:r>
      <w:r>
        <w:rPr>
          <w:rFonts w:hint="default" w:ascii="Arial" w:hAnsi="Arial" w:cs="Arial"/>
          <w:sz w:val="17"/>
          <w:szCs w:val="17"/>
        </w:rPr>
        <w:t xml:space="preserve"> PAGAMENTO</w:t>
      </w:r>
    </w:p>
    <w:p w14:paraId="3812963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pagamento do objeto deste termo será efetuado em moeda corrente, através de ordem bancária, sem juros e atualização monetária, até 30 dias após a apresentação de Nota Fiscal.</w:t>
      </w:r>
    </w:p>
    <w:p w14:paraId="67C8FEAB">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 pagamento decorrente da concretização do objeto licitado será efetuado pelo Setor Financeiro das Secretarias Municipais, por processo legal, em até 30 (trinta) dias após o recebimento da nota fiscal/fatura, desde que acompanhada de cópia autenticada, se for o caso, das certidões de regularidade junto às Fazendas Federal, Estadual e Municipal, ao FGTS e à seguridade social, vigentes, cuja autenticidade será confirmada nos sites dos órgãos emissores pelo gestor/fiscal da Ata. </w:t>
      </w:r>
    </w:p>
    <w:p w14:paraId="64764B89">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pagamentos à CONTRATADA somente serão realizados mediante a efetiva prestação dos serviços nas condições estabelecidas, que será comprovado por meio de atestado de inspeção a ser expedido pela Coordenadoria de Transportes. </w:t>
      </w:r>
    </w:p>
    <w:p w14:paraId="4654D3CA">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Os pagamentos à CONTRATADA somente serão realizados mediante a efetiva prestação dos serviços nas condições estabelecidas, que será comprovado por meio de atestação no documento fiscal correspondente, pela Coordenadoria de Transportes.</w:t>
      </w:r>
    </w:p>
    <w:p w14:paraId="23838DB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nota fiscal/fatura deverá ser emitida pela contratada em inteira conformidade com as exigências legais e contratuais, especialmente as de natureza fiscal. </w:t>
      </w:r>
    </w:p>
    <w:p w14:paraId="5A91177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 fiscal da Ata e/ou o Setor Financeiro da Secretaria de Saúde, identificando qualquer divergência na nota fiscal/fatura, deverá devolvê-la à contratada para que sejam feitas as correções necessárias, sendo que o prazo estipulado acima será contado somente a partir da reapresentação do documento, desde que devidamente sanado o vício. </w:t>
      </w:r>
    </w:p>
    <w:p w14:paraId="4A69487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pagamentos devidos pelas Secretarias serão efetuados por meio de depósito em conta bancária a ser informada pela contratada ou, eventualmente, por outra forma que vier a ser convencionada entre as partes. </w:t>
      </w:r>
    </w:p>
    <w:p w14:paraId="0CAE95AC">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Nenhum pagamento será efetuado enquanto estiver pendente de liquidação qualquer obrigação por parte da CONTRATADA, sem que isso gere direito a alteração de preços, correção monetária, compensação financeira ou paralisação da execução do objeto da Ata. </w:t>
      </w:r>
    </w:p>
    <w:p w14:paraId="15D79ED4">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Uma vez paga a importância discriminada na nota fiscal/fatura, a contratada dará às Secretaria plena, geral e irretratável quitação dos valores nela discriminados, para nada mais vir a reclamar ou exigir a qualquer título, tempo ou forma. </w:t>
      </w:r>
    </w:p>
    <w:p w14:paraId="39832EC9">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Todo pagamento que vier a ser considerado contratualmente indevido será objeto de ajuste nos pagamentos futuros ou cobrados da CONTRATADA.</w:t>
      </w:r>
    </w:p>
    <w:p w14:paraId="2AED3292">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7"/>
          <w:szCs w:val="17"/>
        </w:rPr>
      </w:pPr>
    </w:p>
    <w:p w14:paraId="0B24043B">
      <w:pPr>
        <w:pStyle w:val="279"/>
        <w:pageBreakBefore w:val="0"/>
        <w:widowControl/>
        <w:numPr>
          <w:ilvl w:val="0"/>
          <w:numId w:val="16"/>
        </w:numPr>
        <w:kinsoku/>
        <w:wordWrap/>
        <w:overflowPunct/>
        <w:topLinePunct w:val="0"/>
        <w:bidi w:val="0"/>
        <w:snapToGrid/>
        <w:spacing w:before="0"/>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 FORMA E CRITÉRIOS DE SELEÇÃO DO FORNECEDOR</w:t>
      </w:r>
    </w:p>
    <w:p w14:paraId="51AACAC4">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color w:val="000000" w:themeColor="text1"/>
          <w:sz w:val="17"/>
          <w:szCs w:val="17"/>
          <w14:textFill>
            <w14:solidFill>
              <w14:schemeClr w14:val="tx1"/>
            </w14:solidFill>
          </w14:textFill>
        </w:rPr>
      </w:pPr>
      <w:r>
        <w:rPr>
          <w:rFonts w:hint="default" w:ascii="Arial" w:hAnsi="Arial" w:cs="Arial"/>
          <w:b w:val="0"/>
          <w:color w:val="000000" w:themeColor="text1"/>
          <w:sz w:val="17"/>
          <w:szCs w:val="17"/>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MAIOR DESCONTO.</w:t>
      </w:r>
    </w:p>
    <w:p w14:paraId="5BD1198F">
      <w:pPr>
        <w:pageBreakBefore w:val="0"/>
        <w:widowControl/>
        <w:kinsoku/>
        <w:wordWrap/>
        <w:overflowPunct/>
        <w:topLinePunct w:val="0"/>
        <w:bidi w:val="0"/>
        <w:snapToGrid/>
        <w:textAlignment w:val="auto"/>
        <w:rPr>
          <w:rFonts w:hint="default" w:ascii="Arial" w:hAnsi="Arial" w:cs="Arial"/>
          <w:sz w:val="17"/>
          <w:szCs w:val="17"/>
        </w:rPr>
      </w:pPr>
    </w:p>
    <w:p w14:paraId="0758BEB4">
      <w:pPr>
        <w:pStyle w:val="221"/>
        <w:keepNext/>
        <w:keepLines/>
        <w:pageBreakBefore w:val="0"/>
        <w:widowControl/>
        <w:numPr>
          <w:ilvl w:val="0"/>
          <w:numId w:val="22"/>
        </w:numPr>
        <w:tabs>
          <w:tab w:val="left" w:pos="567"/>
        </w:tabs>
        <w:kinsoku/>
        <w:wordWrap/>
        <w:overflowPunct/>
        <w:topLinePunct w:val="0"/>
        <w:bidi w:val="0"/>
        <w:snapToGrid/>
        <w:spacing w:line="36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7"/>
          <w:szCs w:val="17"/>
          <w:lang w:eastAsia="pt-BR"/>
          <w14:textFill>
            <w14:solidFill>
              <w14:schemeClr w14:val="tx1"/>
            </w14:solidFill>
          </w14:textFill>
        </w:rPr>
      </w:pPr>
    </w:p>
    <w:p w14:paraId="2E3888AD">
      <w:pPr>
        <w:pStyle w:val="279"/>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color w:val="000000" w:themeColor="text1"/>
          <w:sz w:val="17"/>
          <w:szCs w:val="17"/>
          <w:lang w:val="pt-BR"/>
          <w14:textFill>
            <w14:solidFill>
              <w14:schemeClr w14:val="tx1"/>
            </w14:solidFill>
          </w14:textFill>
        </w:rPr>
        <w:t xml:space="preserve">15. </w:t>
      </w:r>
      <w:r>
        <w:rPr>
          <w:rFonts w:hint="default" w:ascii="Arial" w:hAnsi="Arial" w:cs="Arial"/>
          <w:color w:val="000000" w:themeColor="text1"/>
          <w:sz w:val="17"/>
          <w:szCs w:val="17"/>
          <w14:textFill>
            <w14:solidFill>
              <w14:schemeClr w14:val="tx1"/>
            </w14:solidFill>
          </w14:textFill>
        </w:rPr>
        <w:t>FORMA DE FORNECIMENTO</w:t>
      </w:r>
    </w:p>
    <w:p w14:paraId="590C26C4">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fornecimento do objeto será de forma PARCELADA.</w:t>
      </w:r>
    </w:p>
    <w:p w14:paraId="4D891E2C">
      <w:pPr>
        <w:pStyle w:val="279"/>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color w:val="000000" w:themeColor="text1"/>
          <w:sz w:val="17"/>
          <w:szCs w:val="17"/>
          <w:lang w:val="pt-BR"/>
          <w14:textFill>
            <w14:solidFill>
              <w14:schemeClr w14:val="tx1"/>
            </w14:solidFill>
          </w14:textFill>
        </w:rPr>
      </w:pPr>
    </w:p>
    <w:p w14:paraId="4510F29A">
      <w:pPr>
        <w:pStyle w:val="279"/>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color w:val="000000" w:themeColor="text1"/>
          <w:sz w:val="17"/>
          <w:szCs w:val="17"/>
          <w:lang w:val="pt-BR"/>
          <w14:textFill>
            <w14:solidFill>
              <w14:schemeClr w14:val="tx1"/>
            </w14:solidFill>
          </w14:textFill>
        </w:rPr>
        <w:t>16.</w:t>
      </w:r>
      <w:r>
        <w:rPr>
          <w:rFonts w:hint="default" w:ascii="Arial" w:hAnsi="Arial" w:cs="Arial"/>
          <w:color w:val="000000" w:themeColor="text1"/>
          <w:sz w:val="17"/>
          <w:szCs w:val="17"/>
          <w14:textFill>
            <w14:solidFill>
              <w14:schemeClr w14:val="tx1"/>
            </w14:solidFill>
          </w14:textFill>
        </w:rPr>
        <w:t>DA HABILITAÇÃO JURÍDICA, FISCAL, SOCIAL, TRABALHISTA E ECONÔMICO-FINANCEIRA</w:t>
      </w:r>
    </w:p>
    <w:p w14:paraId="5252FFDD">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Os documentos necessários para habilitação do fornecedor se encontrarão descritos em tópico específico contido no edital.</w:t>
      </w:r>
    </w:p>
    <w:p w14:paraId="71D973A9">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p>
    <w:p w14:paraId="609B4744">
      <w:pPr>
        <w:pStyle w:val="279"/>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color w:val="000000" w:themeColor="text1"/>
          <w:sz w:val="17"/>
          <w:szCs w:val="17"/>
          <w:lang w:val="pt-BR"/>
          <w14:textFill>
            <w14:solidFill>
              <w14:schemeClr w14:val="tx1"/>
            </w14:solidFill>
          </w14:textFill>
        </w:rPr>
        <w:t>17.</w:t>
      </w:r>
      <w:r>
        <w:rPr>
          <w:rFonts w:hint="default" w:ascii="Arial" w:hAnsi="Arial" w:cs="Arial"/>
          <w:color w:val="000000" w:themeColor="text1"/>
          <w:sz w:val="17"/>
          <w:szCs w:val="17"/>
          <w14:textFill>
            <w14:solidFill>
              <w14:schemeClr w14:val="tx1"/>
            </w14:solidFill>
          </w14:textFill>
        </w:rPr>
        <w:t xml:space="preserve"> QUALIFICAÇÃO TÉCNICA</w:t>
      </w:r>
    </w:p>
    <w:p w14:paraId="17B8A5DA">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16D35584">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p>
    <w:p w14:paraId="538C6E6A">
      <w:pPr>
        <w:pStyle w:val="279"/>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7"/>
          <w:szCs w:val="17"/>
        </w:rPr>
      </w:pPr>
      <w:r>
        <w:rPr>
          <w:rFonts w:hint="default" w:ascii="Arial" w:hAnsi="Arial" w:cs="Arial"/>
          <w:sz w:val="17"/>
          <w:szCs w:val="17"/>
          <w:lang w:val="pt-BR"/>
        </w:rPr>
        <w:t>18.</w:t>
      </w:r>
      <w:r>
        <w:rPr>
          <w:rFonts w:hint="default" w:ascii="Arial" w:hAnsi="Arial" w:cs="Arial"/>
          <w:sz w:val="17"/>
          <w:szCs w:val="17"/>
        </w:rPr>
        <w:t xml:space="preserve"> ESTIMATIVAS DO VALOR DA CONTRATAÇÃO </w:t>
      </w:r>
    </w:p>
    <w:p w14:paraId="77E8B326">
      <w:pPr>
        <w:pStyle w:val="304"/>
        <w:pageBreakBefore w:val="0"/>
        <w:widowControl/>
        <w:numPr>
          <w:ilvl w:val="0"/>
          <w:numId w:val="0"/>
        </w:numPr>
        <w:tabs>
          <w:tab w:val="left" w:pos="284"/>
        </w:tabs>
        <w:kinsoku/>
        <w:wordWrap/>
        <w:overflowPunct/>
        <w:topLinePunct w:val="0"/>
        <w:bidi w:val="0"/>
        <w:snapToGrid/>
        <w:spacing w:before="0" w:after="0" w:line="360" w:lineRule="auto"/>
        <w:ind w:left="0" w:leftChars="0" w:right="0" w:firstLine="0" w:firstLineChars="0"/>
        <w:textAlignment w:val="auto"/>
        <w:rPr>
          <w:rFonts w:hint="default" w:ascii="Arial" w:hAnsi="Arial" w:eastAsia="Times New Roman" w:cs="Arial"/>
          <w:bCs/>
          <w:sz w:val="17"/>
          <w:szCs w:val="17"/>
        </w:rPr>
      </w:pPr>
      <w:r>
        <w:rPr>
          <w:rFonts w:hint="default" w:ascii="Arial" w:hAnsi="Arial" w:cs="Arial"/>
          <w:sz w:val="17"/>
          <w:szCs w:val="17"/>
        </w:rPr>
        <w:t xml:space="preserve">O custo total estimado para a referida aquisição é de R$ </w:t>
      </w:r>
      <w:r>
        <w:rPr>
          <w:rFonts w:hint="default" w:ascii="Arial" w:hAnsi="Arial" w:eastAsia="Times New Roman" w:cs="Arial"/>
          <w:bCs/>
          <w:sz w:val="17"/>
          <w:szCs w:val="17"/>
        </w:rPr>
        <w:t>52.159,20 (cinquenta e dois mil, cento e cinquenta e nove reais e vinte centavos).</w:t>
      </w:r>
    </w:p>
    <w:p w14:paraId="1DF92F7E">
      <w:pPr>
        <w:pStyle w:val="304"/>
        <w:pageBreakBefore w:val="0"/>
        <w:widowControl/>
        <w:numPr>
          <w:ilvl w:val="0"/>
          <w:numId w:val="0"/>
        </w:numPr>
        <w:tabs>
          <w:tab w:val="left" w:pos="284"/>
        </w:tabs>
        <w:kinsoku/>
        <w:wordWrap/>
        <w:overflowPunct/>
        <w:topLinePunct w:val="0"/>
        <w:bidi w:val="0"/>
        <w:snapToGrid/>
        <w:spacing w:before="0" w:after="0" w:line="360" w:lineRule="auto"/>
        <w:ind w:left="0" w:leftChars="0" w:right="0" w:firstLine="0" w:firstLineChars="0"/>
        <w:textAlignment w:val="auto"/>
        <w:rPr>
          <w:rFonts w:hint="default" w:ascii="Arial" w:hAnsi="Arial" w:eastAsia="Times New Roman" w:cs="Arial"/>
          <w:bCs/>
          <w:sz w:val="17"/>
          <w:szCs w:val="17"/>
        </w:rPr>
      </w:pPr>
    </w:p>
    <w:p w14:paraId="57F1CB96">
      <w:pPr>
        <w:pStyle w:val="279"/>
        <w:pageBreakBefore w:val="0"/>
        <w:widowControl/>
        <w:numPr>
          <w:ilvl w:val="0"/>
          <w:numId w:val="17"/>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7"/>
          <w:szCs w:val="17"/>
        </w:rPr>
      </w:pPr>
      <w:r>
        <w:rPr>
          <w:rFonts w:hint="default" w:ascii="Arial" w:hAnsi="Arial" w:cs="Arial"/>
          <w:sz w:val="17"/>
          <w:szCs w:val="17"/>
        </w:rPr>
        <w:t xml:space="preserve">ADEQUAÇÃO ORÇAMENTÁRIA </w:t>
      </w:r>
    </w:p>
    <w:p w14:paraId="4367ECCB">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As despesas decorrentes da presente contratação correrão por conta da dotação orçamentária do orçamento em vigor.</w:t>
      </w:r>
    </w:p>
    <w:p w14:paraId="45ACCFF0">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Centro de Custo</w:t>
      </w:r>
    </w:p>
    <w:p w14:paraId="7C07F338">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7"/>
          <w:szCs w:val="17"/>
          <w:lang w:eastAsia="pt-BR"/>
        </w:rPr>
      </w:pPr>
    </w:p>
    <w:p w14:paraId="57F0E3D5">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02.09 – Fundo Municipal de Saúde.</w:t>
      </w:r>
    </w:p>
    <w:p w14:paraId="006B209B">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sz w:val="17"/>
          <w:szCs w:val="17"/>
        </w:rPr>
      </w:pPr>
      <w:r>
        <w:rPr>
          <w:rFonts w:hint="default" w:ascii="Arial" w:hAnsi="Arial" w:cs="Arial"/>
          <w:b w:val="0"/>
          <w:sz w:val="17"/>
          <w:szCs w:val="17"/>
        </w:rPr>
        <w:t>10.302.0013.2.106 – Gestão da Vigilância Epidemiológica</w:t>
      </w:r>
    </w:p>
    <w:p w14:paraId="0BE5491C">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3.3.90.30.00.00.00.00 00.01.0600 - Material de Consumo (Ficha 767)</w:t>
      </w:r>
    </w:p>
    <w:p w14:paraId="773CA6F4">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3.3.90.39.00.00.00.00 00.01.0600 - Outros Serviços de Terceiros - Pessoa Jurídica (Ficha 773)</w:t>
      </w:r>
    </w:p>
    <w:p w14:paraId="7D9E98A3">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02.12 – Secretaria de Obras.</w:t>
      </w:r>
    </w:p>
    <w:p w14:paraId="66A708DB">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02.13 – Secretaria de Serviços Urbanos. </w:t>
      </w:r>
    </w:p>
    <w:p w14:paraId="423E79BE">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02.15 – Secretaria de Agricultura e Meio Ambiente. </w:t>
      </w:r>
    </w:p>
    <w:p w14:paraId="3A439827">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7"/>
          <w:szCs w:val="17"/>
        </w:rPr>
      </w:pPr>
    </w:p>
    <w:tbl>
      <w:tblPr>
        <w:tblStyle w:val="5"/>
        <w:tblW w:w="9451" w:type="dxa"/>
        <w:jc w:val="center"/>
        <w:tblLayout w:type="autofit"/>
        <w:tblCellMar>
          <w:top w:w="0" w:type="dxa"/>
          <w:left w:w="108" w:type="dxa"/>
          <w:bottom w:w="0" w:type="dxa"/>
          <w:right w:w="108" w:type="dxa"/>
        </w:tblCellMar>
      </w:tblPr>
      <w:tblGrid>
        <w:gridCol w:w="4653"/>
        <w:gridCol w:w="164"/>
        <w:gridCol w:w="4470"/>
        <w:gridCol w:w="164"/>
      </w:tblGrid>
      <w:tr w14:paraId="5A17F5FA">
        <w:tblPrEx>
          <w:tblCellMar>
            <w:top w:w="0" w:type="dxa"/>
            <w:left w:w="108" w:type="dxa"/>
            <w:bottom w:w="0" w:type="dxa"/>
            <w:right w:w="108" w:type="dxa"/>
          </w:tblCellMar>
        </w:tblPrEx>
        <w:trPr>
          <w:jc w:val="center"/>
        </w:trPr>
        <w:tc>
          <w:tcPr>
            <w:tcW w:w="4817" w:type="dxa"/>
            <w:gridSpan w:val="2"/>
          </w:tcPr>
          <w:p w14:paraId="3FEA59D0">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w:t>
            </w:r>
          </w:p>
        </w:tc>
        <w:tc>
          <w:tcPr>
            <w:tcW w:w="4634" w:type="dxa"/>
            <w:gridSpan w:val="2"/>
          </w:tcPr>
          <w:p w14:paraId="7CB5D36D">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w:t>
            </w:r>
          </w:p>
        </w:tc>
      </w:tr>
      <w:tr w14:paraId="3EE9ECA5">
        <w:tblPrEx>
          <w:tblCellMar>
            <w:top w:w="0" w:type="dxa"/>
            <w:left w:w="108" w:type="dxa"/>
            <w:bottom w:w="0" w:type="dxa"/>
            <w:right w:w="108" w:type="dxa"/>
          </w:tblCellMar>
        </w:tblPrEx>
        <w:trPr>
          <w:jc w:val="center"/>
        </w:trPr>
        <w:tc>
          <w:tcPr>
            <w:tcW w:w="4817" w:type="dxa"/>
            <w:gridSpan w:val="2"/>
          </w:tcPr>
          <w:p w14:paraId="06BCA856">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Lucas Estevão Almeida</w:t>
            </w:r>
          </w:p>
          <w:p w14:paraId="03907188">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7"/>
                <w:szCs w:val="17"/>
              </w:rPr>
            </w:pPr>
            <w:r>
              <w:rPr>
                <w:rFonts w:hint="default" w:ascii="Arial" w:hAnsi="Arial" w:cs="Arial"/>
                <w:b/>
                <w:sz w:val="17"/>
                <w:szCs w:val="17"/>
              </w:rPr>
              <w:t>Cotação de Preços</w:t>
            </w:r>
          </w:p>
        </w:tc>
        <w:tc>
          <w:tcPr>
            <w:tcW w:w="4634" w:type="dxa"/>
            <w:gridSpan w:val="2"/>
          </w:tcPr>
          <w:p w14:paraId="5FBC2261">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Flávia de Souza Werneck</w:t>
            </w:r>
          </w:p>
          <w:p w14:paraId="41749D3F">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eastAsiaTheme="majorEastAsia"/>
                <w:b/>
                <w:bCs/>
                <w:sz w:val="17"/>
                <w:szCs w:val="17"/>
                <w:lang w:eastAsia="pt-BR"/>
              </w:rPr>
              <w:t>Elaboração do Termo de Referência</w:t>
            </w:r>
          </w:p>
        </w:tc>
      </w:tr>
      <w:tr w14:paraId="50797FBB">
        <w:tblPrEx>
          <w:tblCellMar>
            <w:top w:w="0" w:type="dxa"/>
            <w:left w:w="108" w:type="dxa"/>
            <w:bottom w:w="0" w:type="dxa"/>
            <w:right w:w="108" w:type="dxa"/>
          </w:tblCellMar>
        </w:tblPrEx>
        <w:trPr>
          <w:gridAfter w:val="1"/>
          <w:wAfter w:w="164" w:type="dxa"/>
          <w:jc w:val="center"/>
        </w:trPr>
        <w:tc>
          <w:tcPr>
            <w:tcW w:w="4653" w:type="dxa"/>
          </w:tcPr>
          <w:p w14:paraId="154B1330">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p>
          <w:p w14:paraId="5C74D5F1">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w:t>
            </w:r>
          </w:p>
        </w:tc>
        <w:tc>
          <w:tcPr>
            <w:tcW w:w="4634" w:type="dxa"/>
            <w:gridSpan w:val="2"/>
          </w:tcPr>
          <w:p w14:paraId="3F72CD6B">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w:t>
            </w:r>
          </w:p>
        </w:tc>
      </w:tr>
      <w:tr w14:paraId="39464EC6">
        <w:tblPrEx>
          <w:tblCellMar>
            <w:top w:w="0" w:type="dxa"/>
            <w:left w:w="108" w:type="dxa"/>
            <w:bottom w:w="0" w:type="dxa"/>
            <w:right w:w="108" w:type="dxa"/>
          </w:tblCellMar>
        </w:tblPrEx>
        <w:trPr>
          <w:gridAfter w:val="1"/>
          <w:wAfter w:w="164" w:type="dxa"/>
          <w:jc w:val="center"/>
        </w:trPr>
        <w:tc>
          <w:tcPr>
            <w:tcW w:w="4653" w:type="dxa"/>
          </w:tcPr>
          <w:p w14:paraId="747F5F82">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Roberto Carlos Carrara Theodoro</w:t>
            </w:r>
          </w:p>
          <w:p w14:paraId="69ACDB4C">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7"/>
                <w:szCs w:val="17"/>
              </w:rPr>
            </w:pPr>
            <w:r>
              <w:rPr>
                <w:rFonts w:hint="default" w:ascii="Arial" w:hAnsi="Arial" w:cs="Arial"/>
                <w:b/>
                <w:sz w:val="17"/>
                <w:szCs w:val="17"/>
              </w:rPr>
              <w:t>Fiscalização da Ata</w:t>
            </w:r>
          </w:p>
        </w:tc>
        <w:tc>
          <w:tcPr>
            <w:tcW w:w="4634" w:type="dxa"/>
            <w:gridSpan w:val="2"/>
          </w:tcPr>
          <w:p w14:paraId="1BF4CF13">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José Maria Magalhães Sasso</w:t>
            </w:r>
          </w:p>
          <w:p w14:paraId="3B03E6EC">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eastAsiaTheme="majorEastAsia"/>
                <w:b/>
                <w:bCs/>
                <w:sz w:val="17"/>
                <w:szCs w:val="17"/>
                <w:lang w:eastAsia="pt-BR"/>
              </w:rPr>
              <w:t>Fiscalização da Ata</w:t>
            </w:r>
          </w:p>
        </w:tc>
      </w:tr>
      <w:tr w14:paraId="69A1CCF6">
        <w:tblPrEx>
          <w:tblCellMar>
            <w:top w:w="0" w:type="dxa"/>
            <w:left w:w="108" w:type="dxa"/>
            <w:bottom w:w="0" w:type="dxa"/>
            <w:right w:w="108" w:type="dxa"/>
          </w:tblCellMar>
        </w:tblPrEx>
        <w:trPr>
          <w:gridAfter w:val="1"/>
          <w:wAfter w:w="164" w:type="dxa"/>
          <w:jc w:val="center"/>
        </w:trPr>
        <w:tc>
          <w:tcPr>
            <w:tcW w:w="4653" w:type="dxa"/>
          </w:tcPr>
          <w:p w14:paraId="2A21975E">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7"/>
                <w:szCs w:val="17"/>
              </w:rPr>
            </w:pPr>
          </w:p>
        </w:tc>
        <w:tc>
          <w:tcPr>
            <w:tcW w:w="4634" w:type="dxa"/>
            <w:gridSpan w:val="2"/>
          </w:tcPr>
          <w:p w14:paraId="4FD8812B">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p>
        </w:tc>
      </w:tr>
      <w:tr w14:paraId="5CE1CE00">
        <w:tblPrEx>
          <w:tblCellMar>
            <w:top w:w="0" w:type="dxa"/>
            <w:left w:w="108" w:type="dxa"/>
            <w:bottom w:w="0" w:type="dxa"/>
            <w:right w:w="108" w:type="dxa"/>
          </w:tblCellMar>
        </w:tblPrEx>
        <w:trPr>
          <w:gridAfter w:val="1"/>
          <w:wAfter w:w="164" w:type="dxa"/>
          <w:jc w:val="center"/>
        </w:trPr>
        <w:tc>
          <w:tcPr>
            <w:tcW w:w="4653" w:type="dxa"/>
          </w:tcPr>
          <w:p w14:paraId="43E825B5">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w:t>
            </w:r>
          </w:p>
        </w:tc>
        <w:tc>
          <w:tcPr>
            <w:tcW w:w="4634" w:type="dxa"/>
            <w:gridSpan w:val="2"/>
          </w:tcPr>
          <w:p w14:paraId="5463C32E">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w:t>
            </w:r>
          </w:p>
        </w:tc>
      </w:tr>
      <w:tr w14:paraId="5B38BA00">
        <w:tblPrEx>
          <w:tblCellMar>
            <w:top w:w="0" w:type="dxa"/>
            <w:left w:w="108" w:type="dxa"/>
            <w:bottom w:w="0" w:type="dxa"/>
            <w:right w:w="108" w:type="dxa"/>
          </w:tblCellMar>
        </w:tblPrEx>
        <w:trPr>
          <w:gridAfter w:val="1"/>
          <w:wAfter w:w="164" w:type="dxa"/>
          <w:jc w:val="center"/>
        </w:trPr>
        <w:tc>
          <w:tcPr>
            <w:tcW w:w="4653" w:type="dxa"/>
          </w:tcPr>
          <w:p w14:paraId="5CA0E1B6">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João Paulo Santana</w:t>
            </w:r>
          </w:p>
          <w:p w14:paraId="60E095B5">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7"/>
                <w:szCs w:val="17"/>
              </w:rPr>
            </w:pPr>
            <w:r>
              <w:rPr>
                <w:rFonts w:hint="default" w:ascii="Arial" w:hAnsi="Arial" w:cs="Arial"/>
                <w:b/>
                <w:sz w:val="17"/>
                <w:szCs w:val="17"/>
              </w:rPr>
              <w:t>Fiscalização da Ata</w:t>
            </w:r>
          </w:p>
        </w:tc>
        <w:tc>
          <w:tcPr>
            <w:tcW w:w="4634" w:type="dxa"/>
            <w:gridSpan w:val="2"/>
          </w:tcPr>
          <w:p w14:paraId="463028FE">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Tiago Viana Gonçalves dos Santos</w:t>
            </w:r>
          </w:p>
          <w:p w14:paraId="3029E5C1">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7"/>
                <w:szCs w:val="17"/>
              </w:rPr>
            </w:pPr>
            <w:r>
              <w:rPr>
                <w:rFonts w:hint="default" w:ascii="Arial" w:hAnsi="Arial" w:cs="Arial" w:eastAsiaTheme="majorEastAsia"/>
                <w:b/>
                <w:bCs/>
                <w:sz w:val="17"/>
                <w:szCs w:val="17"/>
                <w:lang w:eastAsia="pt-BR"/>
              </w:rPr>
              <w:t>Fiscalização da Ata</w:t>
            </w:r>
          </w:p>
        </w:tc>
      </w:tr>
    </w:tbl>
    <w:p w14:paraId="3EA69BD0">
      <w:pPr>
        <w:pStyle w:val="221"/>
        <w:pageBreakBefore w:val="0"/>
        <w:widowControl/>
        <w:kinsoku/>
        <w:wordWrap/>
        <w:overflowPunct/>
        <w:topLinePunct w:val="0"/>
        <w:autoSpaceDE w:val="0"/>
        <w:autoSpaceDN w:val="0"/>
        <w:bidi w:val="0"/>
        <w:adjustRightInd w:val="0"/>
        <w:snapToGrid/>
        <w:spacing w:line="360" w:lineRule="auto"/>
        <w:ind w:left="0" w:leftChars="0" w:right="0" w:firstLine="0" w:firstLineChars="0"/>
        <w:contextualSpacing w:val="0"/>
        <w:jc w:val="center"/>
        <w:textAlignment w:val="auto"/>
        <w:rPr>
          <w:rFonts w:hint="default" w:ascii="Arial" w:hAnsi="Arial" w:cs="Arial"/>
          <w:b/>
          <w:sz w:val="17"/>
          <w:szCs w:val="17"/>
        </w:rPr>
      </w:pPr>
    </w:p>
    <w:p w14:paraId="542FDE8E">
      <w:pPr>
        <w:pStyle w:val="221"/>
        <w:autoSpaceDE w:val="0"/>
        <w:autoSpaceDN w:val="0"/>
        <w:adjustRightInd w:val="0"/>
        <w:spacing w:line="360" w:lineRule="auto"/>
        <w:ind w:left="0"/>
        <w:contextualSpacing w:val="0"/>
        <w:jc w:val="center"/>
        <w:rPr>
          <w:rFonts w:ascii="Arial" w:hAnsi="Arial" w:cs="Arial"/>
          <w:b/>
          <w:sz w:val="40"/>
          <w:szCs w:val="40"/>
        </w:rPr>
      </w:pPr>
    </w:p>
    <w:p w14:paraId="634BC346">
      <w:pPr>
        <w:pStyle w:val="221"/>
        <w:autoSpaceDE w:val="0"/>
        <w:autoSpaceDN w:val="0"/>
        <w:adjustRightInd w:val="0"/>
        <w:spacing w:line="360" w:lineRule="auto"/>
        <w:ind w:left="0"/>
        <w:contextualSpacing w:val="0"/>
        <w:jc w:val="center"/>
        <w:rPr>
          <w:rFonts w:ascii="Arial" w:hAnsi="Arial" w:cs="Arial"/>
          <w:b/>
          <w:sz w:val="40"/>
          <w:szCs w:val="40"/>
        </w:rPr>
      </w:pPr>
    </w:p>
    <w:p w14:paraId="5FAC8D17">
      <w:pPr>
        <w:pStyle w:val="221"/>
        <w:autoSpaceDE w:val="0"/>
        <w:autoSpaceDN w:val="0"/>
        <w:adjustRightInd w:val="0"/>
        <w:spacing w:line="360" w:lineRule="auto"/>
        <w:ind w:left="0"/>
        <w:contextualSpacing w:val="0"/>
        <w:jc w:val="center"/>
        <w:rPr>
          <w:rFonts w:ascii="Arial" w:hAnsi="Arial" w:cs="Arial"/>
          <w:b/>
          <w:sz w:val="40"/>
          <w:szCs w:val="40"/>
        </w:rPr>
      </w:pPr>
    </w:p>
    <w:p w14:paraId="70AF7678">
      <w:pPr>
        <w:pStyle w:val="221"/>
        <w:autoSpaceDE w:val="0"/>
        <w:autoSpaceDN w:val="0"/>
        <w:adjustRightInd w:val="0"/>
        <w:spacing w:line="360" w:lineRule="auto"/>
        <w:ind w:left="0"/>
        <w:contextualSpacing w:val="0"/>
        <w:jc w:val="center"/>
        <w:rPr>
          <w:rFonts w:ascii="Arial" w:hAnsi="Arial" w:cs="Arial"/>
          <w:b/>
          <w:sz w:val="40"/>
          <w:szCs w:val="40"/>
        </w:rPr>
      </w:pPr>
    </w:p>
    <w:p w14:paraId="3A58BD1A">
      <w:pPr>
        <w:pStyle w:val="221"/>
        <w:autoSpaceDE w:val="0"/>
        <w:autoSpaceDN w:val="0"/>
        <w:adjustRightInd w:val="0"/>
        <w:spacing w:line="360" w:lineRule="auto"/>
        <w:ind w:left="0"/>
        <w:contextualSpacing w:val="0"/>
        <w:jc w:val="center"/>
        <w:rPr>
          <w:rFonts w:ascii="Arial" w:hAnsi="Arial" w:cs="Arial"/>
          <w:b/>
          <w:sz w:val="40"/>
          <w:szCs w:val="40"/>
        </w:rPr>
      </w:pPr>
    </w:p>
    <w:p w14:paraId="0148C86A">
      <w:pPr>
        <w:pStyle w:val="221"/>
        <w:autoSpaceDE w:val="0"/>
        <w:autoSpaceDN w:val="0"/>
        <w:adjustRightInd w:val="0"/>
        <w:spacing w:line="360" w:lineRule="auto"/>
        <w:ind w:left="0"/>
        <w:contextualSpacing w:val="0"/>
        <w:jc w:val="center"/>
        <w:rPr>
          <w:rFonts w:ascii="Arial" w:hAnsi="Arial" w:cs="Arial"/>
          <w:b/>
          <w:sz w:val="40"/>
          <w:szCs w:val="40"/>
        </w:rPr>
      </w:pPr>
    </w:p>
    <w:p w14:paraId="234703EC">
      <w:pPr>
        <w:pStyle w:val="221"/>
        <w:autoSpaceDE w:val="0"/>
        <w:autoSpaceDN w:val="0"/>
        <w:adjustRightInd w:val="0"/>
        <w:spacing w:line="360" w:lineRule="auto"/>
        <w:ind w:left="0"/>
        <w:contextualSpacing w:val="0"/>
        <w:jc w:val="center"/>
        <w:rPr>
          <w:rFonts w:ascii="Arial" w:hAnsi="Arial" w:cs="Arial"/>
          <w:b/>
          <w:sz w:val="40"/>
          <w:szCs w:val="40"/>
        </w:rPr>
      </w:pPr>
    </w:p>
    <w:p w14:paraId="1789B986">
      <w:pPr>
        <w:pStyle w:val="221"/>
        <w:autoSpaceDE w:val="0"/>
        <w:autoSpaceDN w:val="0"/>
        <w:adjustRightInd w:val="0"/>
        <w:spacing w:line="360" w:lineRule="auto"/>
        <w:ind w:left="0"/>
        <w:contextualSpacing w:val="0"/>
        <w:jc w:val="both"/>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163/2024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091/2024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068/2024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aior desconto por lote</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09 de janeiro </w:t>
      </w:r>
      <w:r>
        <w:rPr>
          <w:rFonts w:ascii="Arial" w:hAnsi="Arial" w:cs="Arial"/>
          <w:b/>
          <w:bCs/>
          <w:sz w:val="20"/>
          <w:szCs w:val="20"/>
        </w:rPr>
        <w:t>de 202</w:t>
      </w:r>
      <w:r>
        <w:rPr>
          <w:rFonts w:hint="default" w:ascii="Arial" w:hAnsi="Arial" w:cs="Arial"/>
          <w:b/>
          <w:bCs/>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AB58CB8">
      <w:pPr>
        <w:spacing w:line="276" w:lineRule="auto"/>
        <w:ind w:left="-142"/>
        <w:rPr>
          <w:rFonts w:ascii="Arial" w:hAnsi="Arial" w:cs="Arial"/>
          <w:sz w:val="20"/>
          <w:szCs w:val="20"/>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3057"/>
        <w:gridCol w:w="2277"/>
      </w:tblGrid>
      <w:tr w14:paraId="5B2F5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4219" w:type="dxa"/>
            <w:vAlign w:val="center"/>
          </w:tcPr>
          <w:p w14:paraId="6CFA78C4">
            <w:pPr>
              <w:jc w:val="center"/>
              <w:rPr>
                <w:rFonts w:ascii="Arial" w:hAnsi="Arial" w:cs="Arial"/>
                <w:sz w:val="20"/>
                <w:szCs w:val="20"/>
              </w:rPr>
            </w:pPr>
            <w:r>
              <w:rPr>
                <w:rFonts w:ascii="Arial" w:hAnsi="Arial" w:cs="Arial"/>
                <w:sz w:val="20"/>
                <w:szCs w:val="20"/>
              </w:rPr>
              <w:t>ESPECIFICAÇÃO</w:t>
            </w:r>
          </w:p>
        </w:tc>
        <w:tc>
          <w:tcPr>
            <w:tcW w:w="3057" w:type="dxa"/>
            <w:vAlign w:val="center"/>
          </w:tcPr>
          <w:p w14:paraId="2CA0386F">
            <w:pPr>
              <w:jc w:val="center"/>
              <w:rPr>
                <w:rFonts w:ascii="Arial" w:hAnsi="Arial" w:cs="Arial"/>
                <w:sz w:val="20"/>
                <w:szCs w:val="20"/>
              </w:rPr>
            </w:pPr>
            <w:r>
              <w:rPr>
                <w:rFonts w:ascii="Arial" w:hAnsi="Arial" w:cs="Arial"/>
                <w:sz w:val="20"/>
                <w:szCs w:val="20"/>
              </w:rPr>
              <w:t>PERCENTUAL DE DESCONTO</w:t>
            </w:r>
          </w:p>
          <w:p w14:paraId="2138F953">
            <w:pPr>
              <w:jc w:val="center"/>
              <w:rPr>
                <w:rFonts w:ascii="Arial" w:hAnsi="Arial" w:cs="Arial"/>
                <w:sz w:val="20"/>
                <w:szCs w:val="20"/>
              </w:rPr>
            </w:pPr>
            <w:r>
              <w:rPr>
                <w:rFonts w:ascii="Arial" w:hAnsi="Arial" w:cs="Arial"/>
                <w:sz w:val="20"/>
                <w:szCs w:val="20"/>
              </w:rPr>
              <w:t>SERVIÇOS</w:t>
            </w:r>
          </w:p>
        </w:tc>
        <w:tc>
          <w:tcPr>
            <w:tcW w:w="2277" w:type="dxa"/>
            <w:vAlign w:val="center"/>
          </w:tcPr>
          <w:p w14:paraId="703C5211">
            <w:pPr>
              <w:jc w:val="center"/>
              <w:rPr>
                <w:rFonts w:ascii="Arial" w:hAnsi="Arial" w:cs="Arial"/>
                <w:sz w:val="20"/>
                <w:szCs w:val="20"/>
              </w:rPr>
            </w:pPr>
            <w:r>
              <w:rPr>
                <w:rFonts w:ascii="Arial" w:hAnsi="Arial" w:cs="Arial"/>
                <w:sz w:val="20"/>
                <w:szCs w:val="20"/>
              </w:rPr>
              <w:t>PERCENTUAL DESCONTO PEÇAS</w:t>
            </w:r>
          </w:p>
        </w:tc>
      </w:tr>
      <w:tr w14:paraId="7E0AA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2510601A">
            <w:pPr>
              <w:jc w:val="both"/>
              <w:rPr>
                <w:rFonts w:ascii="Arial" w:hAnsi="Arial" w:cs="Arial"/>
                <w:b/>
                <w:sz w:val="18"/>
                <w:szCs w:val="18"/>
              </w:rPr>
            </w:pPr>
            <w:r>
              <w:rPr>
                <w:rFonts w:ascii="Arial" w:hAnsi="Arial" w:cs="Arial"/>
                <w:b/>
                <w:sz w:val="18"/>
                <w:szCs w:val="18"/>
              </w:rPr>
              <w:t>LOTE I Motocicleta Yamaha</w:t>
            </w:r>
          </w:p>
          <w:p w14:paraId="4D92C67C">
            <w:pPr>
              <w:jc w:val="both"/>
              <w:rPr>
                <w:rFonts w:ascii="Arial" w:hAnsi="Arial" w:cs="Arial"/>
                <w:sz w:val="20"/>
                <w:szCs w:val="20"/>
              </w:rPr>
            </w:pPr>
          </w:p>
        </w:tc>
        <w:tc>
          <w:tcPr>
            <w:tcW w:w="3057" w:type="dxa"/>
            <w:vAlign w:val="center"/>
          </w:tcPr>
          <w:p w14:paraId="4EA71AA9">
            <w:pPr>
              <w:jc w:val="right"/>
              <w:rPr>
                <w:rFonts w:ascii="Arial" w:hAnsi="Arial" w:cs="Arial"/>
                <w:sz w:val="18"/>
                <w:szCs w:val="18"/>
              </w:rPr>
            </w:pPr>
            <w:r>
              <w:rPr>
                <w:rFonts w:ascii="Arial" w:hAnsi="Arial" w:cs="Arial"/>
                <w:sz w:val="18"/>
                <w:szCs w:val="18"/>
              </w:rPr>
              <w:t>%</w:t>
            </w:r>
          </w:p>
        </w:tc>
        <w:tc>
          <w:tcPr>
            <w:tcW w:w="2277" w:type="dxa"/>
            <w:vAlign w:val="center"/>
          </w:tcPr>
          <w:p w14:paraId="59593983">
            <w:pPr>
              <w:jc w:val="right"/>
              <w:rPr>
                <w:rFonts w:ascii="Arial" w:hAnsi="Arial" w:cs="Arial"/>
                <w:sz w:val="18"/>
                <w:szCs w:val="18"/>
              </w:rPr>
            </w:pPr>
            <w:r>
              <w:rPr>
                <w:rFonts w:ascii="Arial" w:hAnsi="Arial" w:cs="Arial"/>
                <w:sz w:val="18"/>
                <w:szCs w:val="18"/>
              </w:rPr>
              <w:t>%</w:t>
            </w:r>
          </w:p>
        </w:tc>
      </w:tr>
      <w:tr w14:paraId="27620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466CF673">
            <w:pPr>
              <w:jc w:val="both"/>
              <w:rPr>
                <w:rFonts w:ascii="Arial" w:hAnsi="Arial" w:cs="Arial"/>
                <w:b/>
                <w:sz w:val="18"/>
                <w:szCs w:val="18"/>
              </w:rPr>
            </w:pPr>
          </w:p>
        </w:tc>
        <w:tc>
          <w:tcPr>
            <w:tcW w:w="3057" w:type="dxa"/>
            <w:vAlign w:val="center"/>
          </w:tcPr>
          <w:p w14:paraId="3529127C">
            <w:pPr>
              <w:jc w:val="right"/>
              <w:rPr>
                <w:rFonts w:ascii="Arial" w:hAnsi="Arial" w:cs="Arial"/>
                <w:b/>
                <w:sz w:val="18"/>
                <w:szCs w:val="18"/>
              </w:rPr>
            </w:pPr>
            <w:r>
              <w:rPr>
                <w:rFonts w:ascii="Arial" w:hAnsi="Arial" w:cs="Arial"/>
                <w:b/>
                <w:sz w:val="18"/>
                <w:szCs w:val="18"/>
              </w:rPr>
              <w:t>TOTAL DESCONTO LOTE I</w:t>
            </w:r>
          </w:p>
        </w:tc>
        <w:tc>
          <w:tcPr>
            <w:tcW w:w="2277" w:type="dxa"/>
            <w:vAlign w:val="center"/>
          </w:tcPr>
          <w:p w14:paraId="4606836A">
            <w:pPr>
              <w:jc w:val="right"/>
              <w:rPr>
                <w:rFonts w:ascii="Arial" w:hAnsi="Arial" w:cs="Arial"/>
                <w:sz w:val="18"/>
                <w:szCs w:val="18"/>
              </w:rPr>
            </w:pPr>
            <w:r>
              <w:rPr>
                <w:rFonts w:ascii="Arial" w:hAnsi="Arial" w:cs="Arial"/>
                <w:sz w:val="18"/>
                <w:szCs w:val="18"/>
              </w:rPr>
              <w:t>%</w:t>
            </w:r>
          </w:p>
        </w:tc>
      </w:tr>
      <w:tr w14:paraId="793EA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3" w:hRule="atLeast"/>
          <w:jc w:val="center"/>
        </w:trPr>
        <w:tc>
          <w:tcPr>
            <w:tcW w:w="4219" w:type="dxa"/>
            <w:vAlign w:val="center"/>
          </w:tcPr>
          <w:p w14:paraId="1CEDF653">
            <w:pPr>
              <w:jc w:val="both"/>
              <w:rPr>
                <w:rFonts w:ascii="Arial" w:hAnsi="Arial" w:cs="Arial"/>
                <w:b/>
                <w:sz w:val="18"/>
                <w:szCs w:val="18"/>
              </w:rPr>
            </w:pPr>
            <w:r>
              <w:rPr>
                <w:rFonts w:ascii="Arial" w:hAnsi="Arial" w:cs="Arial"/>
                <w:b/>
                <w:sz w:val="18"/>
                <w:szCs w:val="18"/>
              </w:rPr>
              <w:t>LOTE II Motocicleta Honda</w:t>
            </w:r>
          </w:p>
          <w:p w14:paraId="141C682B">
            <w:pPr>
              <w:jc w:val="both"/>
              <w:rPr>
                <w:rFonts w:ascii="Arial" w:hAnsi="Arial" w:cs="Arial"/>
                <w:sz w:val="18"/>
                <w:szCs w:val="18"/>
              </w:rPr>
            </w:pPr>
          </w:p>
        </w:tc>
        <w:tc>
          <w:tcPr>
            <w:tcW w:w="3057" w:type="dxa"/>
            <w:vAlign w:val="center"/>
          </w:tcPr>
          <w:p w14:paraId="01E08161">
            <w:pPr>
              <w:jc w:val="right"/>
              <w:rPr>
                <w:rFonts w:ascii="Arial" w:hAnsi="Arial" w:cs="Arial"/>
                <w:sz w:val="18"/>
                <w:szCs w:val="18"/>
              </w:rPr>
            </w:pPr>
            <w:r>
              <w:rPr>
                <w:rFonts w:ascii="Arial" w:hAnsi="Arial" w:cs="Arial"/>
                <w:sz w:val="18"/>
                <w:szCs w:val="18"/>
              </w:rPr>
              <w:t>%</w:t>
            </w:r>
          </w:p>
        </w:tc>
        <w:tc>
          <w:tcPr>
            <w:tcW w:w="2277" w:type="dxa"/>
            <w:vAlign w:val="center"/>
          </w:tcPr>
          <w:p w14:paraId="27FFE00D">
            <w:pPr>
              <w:jc w:val="right"/>
              <w:rPr>
                <w:rFonts w:ascii="Arial" w:hAnsi="Arial" w:cs="Arial"/>
                <w:sz w:val="18"/>
                <w:szCs w:val="18"/>
              </w:rPr>
            </w:pPr>
            <w:r>
              <w:rPr>
                <w:rFonts w:ascii="Arial" w:hAnsi="Arial" w:cs="Arial"/>
                <w:sz w:val="18"/>
                <w:szCs w:val="18"/>
              </w:rPr>
              <w:t>%</w:t>
            </w:r>
          </w:p>
        </w:tc>
      </w:tr>
      <w:tr w14:paraId="010B7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24F50F8C">
            <w:pPr>
              <w:jc w:val="both"/>
              <w:rPr>
                <w:rFonts w:ascii="Arial" w:hAnsi="Arial" w:cs="Arial"/>
                <w:b/>
                <w:sz w:val="18"/>
                <w:szCs w:val="18"/>
              </w:rPr>
            </w:pPr>
          </w:p>
        </w:tc>
        <w:tc>
          <w:tcPr>
            <w:tcW w:w="3057" w:type="dxa"/>
            <w:vAlign w:val="center"/>
          </w:tcPr>
          <w:p w14:paraId="45DF2D19">
            <w:pPr>
              <w:jc w:val="right"/>
              <w:rPr>
                <w:rFonts w:ascii="Arial" w:hAnsi="Arial" w:cs="Arial"/>
                <w:b/>
                <w:sz w:val="18"/>
                <w:szCs w:val="18"/>
              </w:rPr>
            </w:pPr>
            <w:r>
              <w:rPr>
                <w:rFonts w:ascii="Arial" w:hAnsi="Arial" w:cs="Arial"/>
                <w:b/>
                <w:sz w:val="18"/>
                <w:szCs w:val="18"/>
              </w:rPr>
              <w:t>TOTAL DESCONTO LOTE II</w:t>
            </w:r>
          </w:p>
        </w:tc>
        <w:tc>
          <w:tcPr>
            <w:tcW w:w="2277" w:type="dxa"/>
            <w:vAlign w:val="center"/>
          </w:tcPr>
          <w:p w14:paraId="5DBD6488">
            <w:pPr>
              <w:jc w:val="right"/>
              <w:rPr>
                <w:rFonts w:ascii="Arial" w:hAnsi="Arial" w:cs="Arial"/>
                <w:sz w:val="18"/>
                <w:szCs w:val="18"/>
              </w:rPr>
            </w:pPr>
            <w:r>
              <w:rPr>
                <w:rFonts w:ascii="Arial" w:hAnsi="Arial" w:cs="Arial"/>
                <w:sz w:val="18"/>
                <w:szCs w:val="18"/>
              </w:rPr>
              <w:t>%</w:t>
            </w:r>
          </w:p>
        </w:tc>
      </w:tr>
    </w:tbl>
    <w:p w14:paraId="12386BEC">
      <w:pPr>
        <w:spacing w:line="276" w:lineRule="auto"/>
        <w:rPr>
          <w:rFonts w:ascii="Arial" w:hAnsi="Arial" w:cs="Arial"/>
          <w:sz w:val="20"/>
          <w:szCs w:val="20"/>
        </w:rPr>
      </w:pPr>
    </w:p>
    <w:p w14:paraId="7F658C58">
      <w:pPr>
        <w:spacing w:line="276" w:lineRule="auto"/>
        <w:rPr>
          <w:rFonts w:ascii="Arial" w:hAnsi="Arial" w:cs="Arial"/>
          <w:sz w:val="20"/>
          <w:szCs w:val="20"/>
        </w:rPr>
      </w:pPr>
    </w:p>
    <w:p w14:paraId="4E23A67B">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777EC306">
      <w:pPr>
        <w:jc w:val="center"/>
        <w:rPr>
          <w:rFonts w:ascii="Arial" w:hAnsi="Arial" w:cs="Arial"/>
          <w:b/>
          <w:bCs/>
          <w:sz w:val="32"/>
          <w:szCs w:val="32"/>
        </w:rPr>
      </w:pPr>
    </w:p>
    <w:p w14:paraId="00B4B728">
      <w:pPr>
        <w:jc w:val="center"/>
        <w:rPr>
          <w:rFonts w:ascii="Arial" w:hAnsi="Arial" w:cs="Arial"/>
          <w:b/>
          <w:bCs/>
          <w:sz w:val="32"/>
          <w:szCs w:val="32"/>
        </w:rPr>
      </w:pPr>
    </w:p>
    <w:p w14:paraId="348729AF">
      <w:pPr>
        <w:jc w:val="center"/>
        <w:rPr>
          <w:rFonts w:ascii="Arial" w:hAnsi="Arial" w:cs="Arial"/>
          <w:b/>
          <w:bCs/>
          <w:sz w:val="32"/>
          <w:szCs w:val="32"/>
        </w:rPr>
      </w:pPr>
    </w:p>
    <w:p w14:paraId="0CD5F419">
      <w:pPr>
        <w:jc w:val="center"/>
        <w:rPr>
          <w:rFonts w:ascii="Arial" w:hAnsi="Arial" w:cs="Arial"/>
          <w:b/>
          <w:bCs/>
          <w:sz w:val="32"/>
          <w:szCs w:val="32"/>
        </w:rPr>
      </w:pPr>
    </w:p>
    <w:p w14:paraId="093B4A56">
      <w:pPr>
        <w:jc w:val="center"/>
        <w:rPr>
          <w:rFonts w:ascii="Arial" w:hAnsi="Arial" w:cs="Arial"/>
          <w:b/>
          <w:bCs/>
          <w:sz w:val="32"/>
          <w:szCs w:val="32"/>
        </w:rPr>
      </w:pPr>
    </w:p>
    <w:p w14:paraId="435DC718">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068/2024</w:t>
      </w:r>
      <w:r>
        <w:rPr>
          <w:rFonts w:hint="default" w:ascii="Arial" w:hAnsi="Arial" w:cs="Arial"/>
          <w:sz w:val="17"/>
          <w:szCs w:val="17"/>
        </w:rPr>
        <w:t xml:space="preserve">, Processo Administrativo n.º </w:t>
      </w:r>
      <w:r>
        <w:rPr>
          <w:rFonts w:hint="default" w:ascii="Arial" w:hAnsi="Arial" w:cs="Arial"/>
          <w:sz w:val="17"/>
          <w:szCs w:val="17"/>
          <w:lang w:val="pt-BR"/>
        </w:rPr>
        <w:t>163/2024</w:t>
      </w:r>
      <w:r>
        <w:rPr>
          <w:rFonts w:hint="default" w:ascii="Arial" w:hAnsi="Arial" w:cs="Arial"/>
          <w:sz w:val="17"/>
          <w:szCs w:val="17"/>
        </w:rPr>
        <w:t xml:space="preserve">, Pregão Eletrônico n° </w:t>
      </w:r>
      <w:r>
        <w:rPr>
          <w:rFonts w:hint="default" w:ascii="Arial" w:hAnsi="Arial" w:cs="Arial"/>
          <w:sz w:val="17"/>
          <w:szCs w:val="17"/>
          <w:lang w:val="pt-BR"/>
        </w:rPr>
        <w:t>091/2024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3"/>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cs="Arial"/>
          <w:b w:val="0"/>
          <w:bCs w:val="0"/>
          <w:sz w:val="17"/>
          <w:szCs w:val="17"/>
        </w:rPr>
        <w:t>empresa especializada  na prestação de serviços de manutenção preventiva e corretiva incluindo o fornecimento de peça sobre a tabela de preço genuína da Fabricante/ Montadora (Peças e acessórios) da marca do veículo, ou originais de fábrica em  atendimento a frota de veículos</w:t>
      </w:r>
      <w:r>
        <w:rPr>
          <w:rFonts w:hint="default" w:ascii="Arial" w:hAnsi="Arial" w:cs="Arial"/>
          <w:b w:val="0"/>
          <w:bCs w:val="0"/>
          <w:sz w:val="17"/>
          <w:szCs w:val="17"/>
          <w:lang w:val="pt-BR"/>
        </w:rPr>
        <w:t xml:space="preserve"> </w:t>
      </w:r>
      <w:r>
        <w:rPr>
          <w:rFonts w:hint="default" w:ascii="Arial" w:hAnsi="Arial" w:cs="Arial"/>
          <w:b w:val="0"/>
          <w:bCs w:val="0"/>
          <w:sz w:val="17"/>
          <w:szCs w:val="17"/>
        </w:rPr>
        <w:t>(TIPO MOTOCICLETA)</w:t>
      </w:r>
      <w:r>
        <w:rPr>
          <w:rFonts w:hint="default" w:ascii="Arial" w:hAnsi="Arial" w:cs="Arial"/>
          <w:b w:val="0"/>
          <w:bCs w:val="0"/>
          <w:sz w:val="17"/>
          <w:szCs w:val="17"/>
          <w:lang w:val="pt-BR"/>
        </w:rPr>
        <w:t xml:space="preserve"> </w:t>
      </w:r>
      <w:r>
        <w:rPr>
          <w:rFonts w:hint="default" w:ascii="Arial" w:hAnsi="Arial" w:cs="Arial"/>
          <w:b w:val="0"/>
          <w:bCs w:val="0"/>
          <w:sz w:val="17"/>
          <w:szCs w:val="17"/>
        </w:rPr>
        <w:t>de diversas Secretarias da Prefeitura Municipal de Cataguases-MG, a saber:</w:t>
      </w:r>
    </w:p>
    <w:p w14:paraId="2D75C1AA">
      <w:pPr>
        <w:spacing w:line="276" w:lineRule="auto"/>
        <w:rPr>
          <w:rFonts w:hint="default" w:ascii="Arial" w:hAnsi="Arial" w:cs="Arial"/>
          <w:sz w:val="17"/>
          <w:szCs w:val="17"/>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3057"/>
        <w:gridCol w:w="2277"/>
      </w:tblGrid>
      <w:tr w14:paraId="61D5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4219" w:type="dxa"/>
            <w:vAlign w:val="center"/>
          </w:tcPr>
          <w:p w14:paraId="67E1D73B">
            <w:pPr>
              <w:jc w:val="center"/>
              <w:rPr>
                <w:rFonts w:hint="default" w:ascii="Arial" w:hAnsi="Arial" w:cs="Arial"/>
                <w:sz w:val="17"/>
                <w:szCs w:val="17"/>
              </w:rPr>
            </w:pPr>
            <w:r>
              <w:rPr>
                <w:rFonts w:hint="default" w:ascii="Arial" w:hAnsi="Arial" w:cs="Arial"/>
                <w:sz w:val="17"/>
                <w:szCs w:val="17"/>
              </w:rPr>
              <w:t>ESPECIFICAÇÃO</w:t>
            </w:r>
          </w:p>
        </w:tc>
        <w:tc>
          <w:tcPr>
            <w:tcW w:w="3057" w:type="dxa"/>
            <w:vAlign w:val="center"/>
          </w:tcPr>
          <w:p w14:paraId="004DC9E2">
            <w:pPr>
              <w:jc w:val="center"/>
              <w:rPr>
                <w:rFonts w:hint="default" w:ascii="Arial" w:hAnsi="Arial" w:cs="Arial"/>
                <w:sz w:val="17"/>
                <w:szCs w:val="17"/>
              </w:rPr>
            </w:pPr>
            <w:r>
              <w:rPr>
                <w:rFonts w:hint="default" w:ascii="Arial" w:hAnsi="Arial" w:cs="Arial"/>
                <w:sz w:val="17"/>
                <w:szCs w:val="17"/>
              </w:rPr>
              <w:t>PERCENTUAL DE DESCONTO</w:t>
            </w:r>
          </w:p>
          <w:p w14:paraId="635E9156">
            <w:pPr>
              <w:jc w:val="center"/>
              <w:rPr>
                <w:rFonts w:hint="default" w:ascii="Arial" w:hAnsi="Arial" w:cs="Arial"/>
                <w:sz w:val="17"/>
                <w:szCs w:val="17"/>
              </w:rPr>
            </w:pPr>
            <w:r>
              <w:rPr>
                <w:rFonts w:hint="default" w:ascii="Arial" w:hAnsi="Arial" w:cs="Arial"/>
                <w:sz w:val="17"/>
                <w:szCs w:val="17"/>
              </w:rPr>
              <w:t>SERVIÇOS</w:t>
            </w:r>
          </w:p>
        </w:tc>
        <w:tc>
          <w:tcPr>
            <w:tcW w:w="2277" w:type="dxa"/>
            <w:vAlign w:val="center"/>
          </w:tcPr>
          <w:p w14:paraId="470F43D5">
            <w:pPr>
              <w:jc w:val="center"/>
              <w:rPr>
                <w:rFonts w:hint="default" w:ascii="Arial" w:hAnsi="Arial" w:cs="Arial"/>
                <w:sz w:val="17"/>
                <w:szCs w:val="17"/>
              </w:rPr>
            </w:pPr>
            <w:r>
              <w:rPr>
                <w:rFonts w:hint="default" w:ascii="Arial" w:hAnsi="Arial" w:cs="Arial"/>
                <w:sz w:val="17"/>
                <w:szCs w:val="17"/>
              </w:rPr>
              <w:t>PERCENTUAL DESCONTO PEÇAS</w:t>
            </w:r>
          </w:p>
        </w:tc>
      </w:tr>
      <w:tr w14:paraId="0E779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6C47A741">
            <w:pPr>
              <w:jc w:val="both"/>
              <w:rPr>
                <w:rFonts w:hint="default" w:ascii="Arial" w:hAnsi="Arial" w:cs="Arial"/>
                <w:b/>
                <w:sz w:val="17"/>
                <w:szCs w:val="17"/>
              </w:rPr>
            </w:pPr>
            <w:r>
              <w:rPr>
                <w:rFonts w:hint="default" w:ascii="Arial" w:hAnsi="Arial" w:cs="Arial"/>
                <w:b/>
                <w:sz w:val="17"/>
                <w:szCs w:val="17"/>
              </w:rPr>
              <w:t>LOTE I Motocicleta Yamaha</w:t>
            </w:r>
          </w:p>
          <w:p w14:paraId="1694D4A4">
            <w:pPr>
              <w:jc w:val="both"/>
              <w:rPr>
                <w:rFonts w:hint="default" w:ascii="Arial" w:hAnsi="Arial" w:cs="Arial"/>
                <w:sz w:val="17"/>
                <w:szCs w:val="17"/>
              </w:rPr>
            </w:pPr>
          </w:p>
        </w:tc>
        <w:tc>
          <w:tcPr>
            <w:tcW w:w="3057" w:type="dxa"/>
            <w:vAlign w:val="center"/>
          </w:tcPr>
          <w:p w14:paraId="5334B282">
            <w:pPr>
              <w:jc w:val="right"/>
              <w:rPr>
                <w:rFonts w:hint="default" w:ascii="Arial" w:hAnsi="Arial" w:cs="Arial"/>
                <w:sz w:val="17"/>
                <w:szCs w:val="17"/>
              </w:rPr>
            </w:pPr>
            <w:r>
              <w:rPr>
                <w:rFonts w:hint="default" w:ascii="Arial" w:hAnsi="Arial" w:cs="Arial"/>
                <w:sz w:val="17"/>
                <w:szCs w:val="17"/>
              </w:rPr>
              <w:t>%</w:t>
            </w:r>
          </w:p>
        </w:tc>
        <w:tc>
          <w:tcPr>
            <w:tcW w:w="2277" w:type="dxa"/>
            <w:vAlign w:val="center"/>
          </w:tcPr>
          <w:p w14:paraId="3233BB31">
            <w:pPr>
              <w:jc w:val="right"/>
              <w:rPr>
                <w:rFonts w:hint="default" w:ascii="Arial" w:hAnsi="Arial" w:cs="Arial"/>
                <w:sz w:val="17"/>
                <w:szCs w:val="17"/>
              </w:rPr>
            </w:pPr>
            <w:r>
              <w:rPr>
                <w:rFonts w:hint="default" w:ascii="Arial" w:hAnsi="Arial" w:cs="Arial"/>
                <w:sz w:val="17"/>
                <w:szCs w:val="17"/>
              </w:rPr>
              <w:t>%</w:t>
            </w:r>
          </w:p>
        </w:tc>
      </w:tr>
      <w:tr w14:paraId="3AB90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69073293">
            <w:pPr>
              <w:jc w:val="both"/>
              <w:rPr>
                <w:rFonts w:hint="default" w:ascii="Arial" w:hAnsi="Arial" w:cs="Arial"/>
                <w:b/>
                <w:sz w:val="17"/>
                <w:szCs w:val="17"/>
              </w:rPr>
            </w:pPr>
          </w:p>
        </w:tc>
        <w:tc>
          <w:tcPr>
            <w:tcW w:w="3057" w:type="dxa"/>
            <w:vAlign w:val="center"/>
          </w:tcPr>
          <w:p w14:paraId="2314ACB6">
            <w:pPr>
              <w:jc w:val="right"/>
              <w:rPr>
                <w:rFonts w:hint="default" w:ascii="Arial" w:hAnsi="Arial" w:cs="Arial"/>
                <w:b/>
                <w:sz w:val="17"/>
                <w:szCs w:val="17"/>
              </w:rPr>
            </w:pPr>
            <w:r>
              <w:rPr>
                <w:rFonts w:hint="default" w:ascii="Arial" w:hAnsi="Arial" w:cs="Arial"/>
                <w:b/>
                <w:sz w:val="17"/>
                <w:szCs w:val="17"/>
              </w:rPr>
              <w:t>TOTAL DESCONTO LOTE I</w:t>
            </w:r>
          </w:p>
        </w:tc>
        <w:tc>
          <w:tcPr>
            <w:tcW w:w="2277" w:type="dxa"/>
            <w:vAlign w:val="center"/>
          </w:tcPr>
          <w:p w14:paraId="5D6C489C">
            <w:pPr>
              <w:jc w:val="right"/>
              <w:rPr>
                <w:rFonts w:hint="default" w:ascii="Arial" w:hAnsi="Arial" w:cs="Arial"/>
                <w:sz w:val="17"/>
                <w:szCs w:val="17"/>
              </w:rPr>
            </w:pPr>
            <w:r>
              <w:rPr>
                <w:rFonts w:hint="default" w:ascii="Arial" w:hAnsi="Arial" w:cs="Arial"/>
                <w:sz w:val="17"/>
                <w:szCs w:val="17"/>
              </w:rPr>
              <w:t>%</w:t>
            </w:r>
          </w:p>
        </w:tc>
      </w:tr>
      <w:tr w14:paraId="2F895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6501385F">
            <w:pPr>
              <w:jc w:val="both"/>
              <w:rPr>
                <w:rFonts w:hint="default" w:ascii="Arial" w:hAnsi="Arial" w:cs="Arial"/>
                <w:b/>
                <w:sz w:val="17"/>
                <w:szCs w:val="17"/>
              </w:rPr>
            </w:pPr>
            <w:r>
              <w:rPr>
                <w:rFonts w:hint="default" w:ascii="Arial" w:hAnsi="Arial" w:cs="Arial"/>
                <w:b/>
                <w:sz w:val="17"/>
                <w:szCs w:val="17"/>
              </w:rPr>
              <w:t>LOTE II Motocicleta Honda</w:t>
            </w:r>
          </w:p>
          <w:p w14:paraId="7EA8C8CF">
            <w:pPr>
              <w:jc w:val="both"/>
              <w:rPr>
                <w:rFonts w:hint="default" w:ascii="Arial" w:hAnsi="Arial" w:cs="Arial"/>
                <w:sz w:val="17"/>
                <w:szCs w:val="17"/>
              </w:rPr>
            </w:pPr>
          </w:p>
        </w:tc>
        <w:tc>
          <w:tcPr>
            <w:tcW w:w="3057" w:type="dxa"/>
            <w:vAlign w:val="center"/>
          </w:tcPr>
          <w:p w14:paraId="663FC648">
            <w:pPr>
              <w:jc w:val="right"/>
              <w:rPr>
                <w:rFonts w:hint="default" w:ascii="Arial" w:hAnsi="Arial" w:cs="Arial"/>
                <w:sz w:val="17"/>
                <w:szCs w:val="17"/>
              </w:rPr>
            </w:pPr>
            <w:r>
              <w:rPr>
                <w:rFonts w:hint="default" w:ascii="Arial" w:hAnsi="Arial" w:cs="Arial"/>
                <w:sz w:val="17"/>
                <w:szCs w:val="17"/>
              </w:rPr>
              <w:t>%</w:t>
            </w:r>
          </w:p>
        </w:tc>
        <w:tc>
          <w:tcPr>
            <w:tcW w:w="2277" w:type="dxa"/>
            <w:vAlign w:val="center"/>
          </w:tcPr>
          <w:p w14:paraId="49C093BD">
            <w:pPr>
              <w:jc w:val="right"/>
              <w:rPr>
                <w:rFonts w:hint="default" w:ascii="Arial" w:hAnsi="Arial" w:cs="Arial"/>
                <w:sz w:val="17"/>
                <w:szCs w:val="17"/>
              </w:rPr>
            </w:pPr>
            <w:r>
              <w:rPr>
                <w:rFonts w:hint="default" w:ascii="Arial" w:hAnsi="Arial" w:cs="Arial"/>
                <w:sz w:val="17"/>
                <w:szCs w:val="17"/>
              </w:rPr>
              <w:t>%</w:t>
            </w:r>
          </w:p>
        </w:tc>
      </w:tr>
      <w:tr w14:paraId="41EBA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3DF396A5">
            <w:pPr>
              <w:jc w:val="both"/>
              <w:rPr>
                <w:rFonts w:hint="default" w:ascii="Arial" w:hAnsi="Arial" w:cs="Arial"/>
                <w:b/>
                <w:sz w:val="17"/>
                <w:szCs w:val="17"/>
              </w:rPr>
            </w:pPr>
          </w:p>
        </w:tc>
        <w:tc>
          <w:tcPr>
            <w:tcW w:w="3057" w:type="dxa"/>
            <w:vAlign w:val="center"/>
          </w:tcPr>
          <w:p w14:paraId="52F18BEB">
            <w:pPr>
              <w:jc w:val="right"/>
              <w:rPr>
                <w:rFonts w:hint="default" w:ascii="Arial" w:hAnsi="Arial" w:cs="Arial"/>
                <w:b/>
                <w:sz w:val="17"/>
                <w:szCs w:val="17"/>
              </w:rPr>
            </w:pPr>
            <w:r>
              <w:rPr>
                <w:rFonts w:hint="default" w:ascii="Arial" w:hAnsi="Arial" w:cs="Arial"/>
                <w:b/>
                <w:sz w:val="17"/>
                <w:szCs w:val="17"/>
              </w:rPr>
              <w:t>TOTAL DESCONTO LOTE II</w:t>
            </w:r>
          </w:p>
        </w:tc>
        <w:tc>
          <w:tcPr>
            <w:tcW w:w="2277" w:type="dxa"/>
            <w:vAlign w:val="center"/>
          </w:tcPr>
          <w:p w14:paraId="2EEB1DB7">
            <w:pPr>
              <w:jc w:val="right"/>
              <w:rPr>
                <w:rFonts w:hint="default" w:ascii="Arial" w:hAnsi="Arial" w:cs="Arial"/>
                <w:sz w:val="17"/>
                <w:szCs w:val="17"/>
              </w:rPr>
            </w:pPr>
            <w:r>
              <w:rPr>
                <w:rFonts w:hint="default" w:ascii="Arial" w:hAnsi="Arial" w:cs="Arial"/>
                <w:sz w:val="17"/>
                <w:szCs w:val="17"/>
              </w:rPr>
              <w:t>%</w:t>
            </w:r>
          </w:p>
        </w:tc>
      </w:tr>
    </w:tbl>
    <w:p w14:paraId="39C956FA">
      <w:pPr>
        <w:spacing w:line="276" w:lineRule="auto"/>
        <w:rPr>
          <w:rFonts w:hint="default" w:ascii="Arial" w:hAnsi="Arial" w:cs="Arial"/>
          <w:sz w:val="17"/>
          <w:szCs w:val="17"/>
        </w:rPr>
      </w:pPr>
    </w:p>
    <w:p w14:paraId="0A6951A5">
      <w:pPr>
        <w:pStyle w:val="221"/>
        <w:numPr>
          <w:ilvl w:val="1"/>
          <w:numId w:val="23"/>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Serviço</w:t>
      </w:r>
    </w:p>
    <w:p w14:paraId="6AA1462F">
      <w:pPr>
        <w:pStyle w:val="221"/>
        <w:numPr>
          <w:ilvl w:val="1"/>
          <w:numId w:val="23"/>
        </w:numPr>
        <w:ind w:left="0" w:firstLine="0"/>
        <w:jc w:val="both"/>
        <w:rPr>
          <w:rFonts w:hint="default" w:ascii="Arial" w:hAnsi="Arial" w:cs="Arial"/>
          <w:sz w:val="17"/>
          <w:szCs w:val="17"/>
        </w:rPr>
      </w:pPr>
      <w:r>
        <w:rPr>
          <w:rFonts w:hint="default" w:ascii="Arial" w:hAnsi="Arial" w:cs="Arial"/>
          <w:b/>
          <w:i/>
          <w:sz w:val="17"/>
          <w:szCs w:val="17"/>
          <w:u w:val="single"/>
        </w:rPr>
        <w:t>O valor médio para os serviços de manutenção: serviços de mecânica em geral, funilaria, pintura, borracharia, capotaria, elétrico, caixa de câmbio e outros de natureza afim. A estimativa será R$ 92,33 (noventa e dois reais e trinat e três centavos) por hora trabalhada.</w:t>
      </w:r>
    </w:p>
    <w:p w14:paraId="0B323D8F">
      <w:pPr>
        <w:shd w:val="clear"/>
        <w:spacing w:before="240" w:after="120"/>
        <w:contextualSpacing/>
        <w:jc w:val="both"/>
        <w:rPr>
          <w:rFonts w:hint="default" w:ascii="Arial" w:hAnsi="Arial" w:cs="Arial"/>
          <w:sz w:val="17"/>
          <w:szCs w:val="17"/>
          <w:shd w:val="clear" w:color="auto" w:fill="auto"/>
        </w:rPr>
      </w:pPr>
      <w:r>
        <w:rPr>
          <w:rFonts w:hint="default" w:ascii="Arial" w:hAnsi="Arial" w:cs="Arial"/>
          <w:b/>
          <w:sz w:val="17"/>
          <w:szCs w:val="17"/>
          <w:shd w:val="clear" w:color="auto" w:fill="auto"/>
          <w:lang w:val="pt-BR"/>
        </w:rPr>
        <w:t xml:space="preserve">1.4 </w:t>
      </w:r>
      <w:bookmarkStart w:id="56" w:name="_GoBack"/>
      <w:bookmarkEnd w:id="56"/>
      <w:r>
        <w:rPr>
          <w:rFonts w:hint="default" w:ascii="Arial" w:hAnsi="Arial" w:cs="Arial"/>
          <w:b/>
          <w:sz w:val="17"/>
          <w:szCs w:val="17"/>
          <w:shd w:val="clear" w:color="auto" w:fill="auto"/>
        </w:rPr>
        <w:t>RELAÇÃO DE VEÍCULOS DA FROTA</w:t>
      </w:r>
    </w:p>
    <w:p w14:paraId="25196BA7">
      <w:pPr>
        <w:shd w:val="clear"/>
        <w:spacing w:after="200" w:line="276" w:lineRule="auto"/>
        <w:contextualSpacing/>
        <w:rPr>
          <w:rFonts w:hint="default" w:ascii="Arial" w:hAnsi="Arial" w:cs="Arial"/>
          <w:sz w:val="17"/>
          <w:szCs w:val="17"/>
          <w:shd w:val="clear" w:color="auto" w:fill="auto"/>
        </w:rPr>
      </w:pPr>
    </w:p>
    <w:tbl>
      <w:tblPr>
        <w:tblStyle w:val="5"/>
        <w:tblW w:w="7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1213"/>
        <w:gridCol w:w="3230"/>
        <w:gridCol w:w="1000"/>
        <w:gridCol w:w="1742"/>
      </w:tblGrid>
      <w:tr w14:paraId="36EF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47" w:hRule="atLeast"/>
          <w:jc w:val="center"/>
        </w:trPr>
        <w:tc>
          <w:tcPr>
            <w:tcW w:w="1213" w:type="dxa"/>
            <w:tcBorders>
              <w:bottom w:val="single" w:color="auto" w:sz="4" w:space="0"/>
            </w:tcBorders>
            <w:vAlign w:val="center"/>
          </w:tcPr>
          <w:p w14:paraId="610F150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7"/>
                <w:szCs w:val="17"/>
              </w:rPr>
            </w:pPr>
            <w:r>
              <w:rPr>
                <w:rFonts w:hint="default" w:ascii="Arial" w:hAnsi="Arial" w:cs="Arial"/>
                <w:sz w:val="17"/>
                <w:szCs w:val="17"/>
              </w:rPr>
              <w:t>MARCA</w:t>
            </w:r>
          </w:p>
        </w:tc>
        <w:tc>
          <w:tcPr>
            <w:tcW w:w="3230" w:type="dxa"/>
            <w:vAlign w:val="center"/>
          </w:tcPr>
          <w:p w14:paraId="3D2A3B2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7"/>
                <w:szCs w:val="17"/>
              </w:rPr>
            </w:pPr>
            <w:r>
              <w:rPr>
                <w:rFonts w:hint="default" w:ascii="Arial" w:hAnsi="Arial" w:cs="Arial"/>
                <w:sz w:val="17"/>
                <w:szCs w:val="17"/>
              </w:rPr>
              <w:t>VEICULO</w:t>
            </w:r>
          </w:p>
        </w:tc>
        <w:tc>
          <w:tcPr>
            <w:tcW w:w="1000" w:type="dxa"/>
            <w:vAlign w:val="center"/>
          </w:tcPr>
          <w:p w14:paraId="1107BB3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7"/>
                <w:szCs w:val="17"/>
              </w:rPr>
            </w:pPr>
            <w:r>
              <w:rPr>
                <w:rFonts w:hint="default" w:ascii="Arial" w:hAnsi="Arial" w:cs="Arial"/>
                <w:sz w:val="17"/>
                <w:szCs w:val="17"/>
              </w:rPr>
              <w:t>ANO</w:t>
            </w:r>
          </w:p>
        </w:tc>
        <w:tc>
          <w:tcPr>
            <w:tcW w:w="1742" w:type="dxa"/>
            <w:vAlign w:val="center"/>
          </w:tcPr>
          <w:p w14:paraId="57ED950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7"/>
                <w:szCs w:val="17"/>
              </w:rPr>
            </w:pPr>
            <w:r>
              <w:rPr>
                <w:rFonts w:hint="default" w:ascii="Arial" w:hAnsi="Arial" w:cs="Arial"/>
                <w:sz w:val="17"/>
                <w:szCs w:val="17"/>
              </w:rPr>
              <w:t>COMBUSTIVEL</w:t>
            </w:r>
          </w:p>
        </w:tc>
      </w:tr>
      <w:tr w14:paraId="64B4B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restart"/>
            <w:vAlign w:val="center"/>
          </w:tcPr>
          <w:p w14:paraId="1382F90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YAMAHA</w:t>
            </w:r>
          </w:p>
        </w:tc>
        <w:tc>
          <w:tcPr>
            <w:tcW w:w="3230" w:type="dxa"/>
            <w:vMerge w:val="restart"/>
            <w:vAlign w:val="center"/>
          </w:tcPr>
          <w:p w14:paraId="48BCE5D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Yamaha YBR 125 – GYD - 7019</w:t>
            </w:r>
          </w:p>
        </w:tc>
        <w:tc>
          <w:tcPr>
            <w:tcW w:w="1000" w:type="dxa"/>
            <w:vMerge w:val="restart"/>
            <w:vAlign w:val="center"/>
          </w:tcPr>
          <w:p w14:paraId="7392F45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2002</w:t>
            </w:r>
          </w:p>
        </w:tc>
        <w:tc>
          <w:tcPr>
            <w:tcW w:w="1742" w:type="dxa"/>
            <w:vMerge w:val="restart"/>
            <w:vAlign w:val="center"/>
          </w:tcPr>
          <w:p w14:paraId="6F718BE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p w14:paraId="103A840C">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02142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1F654C3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4573C58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10804D1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71F58772">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64616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13EB03A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048CDDF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Yamaha Factor 125 – OQY - 9573</w:t>
            </w:r>
          </w:p>
        </w:tc>
        <w:tc>
          <w:tcPr>
            <w:tcW w:w="1000" w:type="dxa"/>
            <w:vMerge w:val="restart"/>
            <w:vAlign w:val="center"/>
          </w:tcPr>
          <w:p w14:paraId="6A1EFCDB">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2013</w:t>
            </w:r>
          </w:p>
        </w:tc>
        <w:tc>
          <w:tcPr>
            <w:tcW w:w="1742" w:type="dxa"/>
            <w:vMerge w:val="restart"/>
            <w:vAlign w:val="center"/>
          </w:tcPr>
          <w:p w14:paraId="286419A8">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09983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4EDD70C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46EA4E6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0F3A670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4660CB4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23B03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3CCA031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22BE84A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Yamaha XTZ 150 Crosser – QOT - 7947</w:t>
            </w:r>
          </w:p>
        </w:tc>
        <w:tc>
          <w:tcPr>
            <w:tcW w:w="1000" w:type="dxa"/>
            <w:vMerge w:val="restart"/>
            <w:vAlign w:val="center"/>
          </w:tcPr>
          <w:p w14:paraId="2D272C9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2018</w:t>
            </w:r>
          </w:p>
        </w:tc>
        <w:tc>
          <w:tcPr>
            <w:tcW w:w="1742" w:type="dxa"/>
            <w:vMerge w:val="restart"/>
            <w:vAlign w:val="center"/>
          </w:tcPr>
          <w:p w14:paraId="2837588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402B0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Borders>
              <w:bottom w:val="single" w:color="auto" w:sz="4" w:space="0"/>
            </w:tcBorders>
          </w:tcPr>
          <w:p w14:paraId="6291B1E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6F61758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127C9F6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29C23C8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r>
      <w:tr w14:paraId="61307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restart"/>
            <w:tcBorders>
              <w:top w:val="single" w:color="auto" w:sz="4" w:space="0"/>
            </w:tcBorders>
            <w:vAlign w:val="center"/>
          </w:tcPr>
          <w:p w14:paraId="1FA3A54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HONDA</w:t>
            </w:r>
          </w:p>
          <w:p w14:paraId="473CFEB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restart"/>
            <w:vAlign w:val="center"/>
          </w:tcPr>
          <w:p w14:paraId="624CA9F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Fan 150 – NYA – 7B02</w:t>
            </w:r>
          </w:p>
        </w:tc>
        <w:tc>
          <w:tcPr>
            <w:tcW w:w="1000" w:type="dxa"/>
            <w:vMerge w:val="restart"/>
            <w:vAlign w:val="center"/>
          </w:tcPr>
          <w:p w14:paraId="34B3BC32">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2012</w:t>
            </w:r>
          </w:p>
        </w:tc>
        <w:tc>
          <w:tcPr>
            <w:tcW w:w="1742" w:type="dxa"/>
            <w:vMerge w:val="restart"/>
            <w:vAlign w:val="center"/>
          </w:tcPr>
          <w:p w14:paraId="64052FEB">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24F65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5BFF4517">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continue"/>
            <w:vAlign w:val="center"/>
          </w:tcPr>
          <w:p w14:paraId="1E7DD07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6E05FC6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57AED65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0BB1E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7F2FF4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restart"/>
            <w:vAlign w:val="center"/>
          </w:tcPr>
          <w:p w14:paraId="76A0E97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Bross 160 – PWL - 3243</w:t>
            </w:r>
          </w:p>
        </w:tc>
        <w:tc>
          <w:tcPr>
            <w:tcW w:w="1000" w:type="dxa"/>
            <w:vMerge w:val="restart"/>
            <w:vAlign w:val="center"/>
          </w:tcPr>
          <w:p w14:paraId="01E56F8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2015</w:t>
            </w:r>
          </w:p>
        </w:tc>
        <w:tc>
          <w:tcPr>
            <w:tcW w:w="1742" w:type="dxa"/>
            <w:vMerge w:val="restart"/>
            <w:vAlign w:val="center"/>
          </w:tcPr>
          <w:p w14:paraId="17057D1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6E187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037AD06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continue"/>
          </w:tcPr>
          <w:p w14:paraId="36B1A1C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4F7232E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6BE60D75">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7E2F7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vAlign w:val="center"/>
          </w:tcPr>
          <w:p w14:paraId="1765813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restart"/>
            <w:vAlign w:val="center"/>
          </w:tcPr>
          <w:p w14:paraId="4E30AA6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 xml:space="preserve">Honda Bross 160 – PWL - 3248 </w:t>
            </w:r>
          </w:p>
        </w:tc>
        <w:tc>
          <w:tcPr>
            <w:tcW w:w="1000" w:type="dxa"/>
            <w:vMerge w:val="restart"/>
            <w:vAlign w:val="center"/>
          </w:tcPr>
          <w:p w14:paraId="5679A6C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2015</w:t>
            </w:r>
          </w:p>
        </w:tc>
        <w:tc>
          <w:tcPr>
            <w:tcW w:w="1742" w:type="dxa"/>
            <w:vMerge w:val="restart"/>
            <w:vAlign w:val="center"/>
          </w:tcPr>
          <w:p w14:paraId="477E8168">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5B5CD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59567A3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41176DA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64940EB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10B83944">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79B98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0CD9DC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05F5EB8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Bross 160 – PWL – 3C53</w:t>
            </w:r>
          </w:p>
        </w:tc>
        <w:tc>
          <w:tcPr>
            <w:tcW w:w="1000" w:type="dxa"/>
            <w:vMerge w:val="restart"/>
            <w:vAlign w:val="center"/>
          </w:tcPr>
          <w:p w14:paraId="48CC261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2015</w:t>
            </w:r>
          </w:p>
        </w:tc>
        <w:tc>
          <w:tcPr>
            <w:tcW w:w="1742" w:type="dxa"/>
            <w:vMerge w:val="restart"/>
            <w:vAlign w:val="center"/>
          </w:tcPr>
          <w:p w14:paraId="7846AAF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4069B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978B16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tcPr>
          <w:p w14:paraId="33C9A2D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tcPr>
          <w:p w14:paraId="7045497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2C7B9A8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6B869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719A5E4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712B0DE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125 Titan – GLS - 6673</w:t>
            </w:r>
          </w:p>
        </w:tc>
        <w:tc>
          <w:tcPr>
            <w:tcW w:w="1000" w:type="dxa"/>
            <w:vMerge w:val="restart"/>
            <w:vAlign w:val="center"/>
          </w:tcPr>
          <w:p w14:paraId="7CDB70E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1998</w:t>
            </w:r>
          </w:p>
        </w:tc>
        <w:tc>
          <w:tcPr>
            <w:tcW w:w="1742" w:type="dxa"/>
            <w:vMerge w:val="restart"/>
            <w:vAlign w:val="center"/>
          </w:tcPr>
          <w:p w14:paraId="340C527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33DC3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1F93DC8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tcPr>
          <w:p w14:paraId="2416F33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tcPr>
          <w:p w14:paraId="16C1FCE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28A7750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28A7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70D6B92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686E23F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125 Fan – HNH - 4532</w:t>
            </w:r>
          </w:p>
        </w:tc>
        <w:tc>
          <w:tcPr>
            <w:tcW w:w="1000" w:type="dxa"/>
            <w:vMerge w:val="restart"/>
            <w:vAlign w:val="center"/>
          </w:tcPr>
          <w:p w14:paraId="55A88C7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1742" w:type="dxa"/>
            <w:vMerge w:val="restart"/>
            <w:vAlign w:val="center"/>
          </w:tcPr>
          <w:p w14:paraId="0F347A8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4058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4483B60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162AE00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1661825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tcBorders>
              <w:bottom w:val="single" w:color="auto" w:sz="4" w:space="0"/>
            </w:tcBorders>
            <w:vAlign w:val="center"/>
          </w:tcPr>
          <w:p w14:paraId="0390E4A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3E7BB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79140D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05A2F55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125 Fan – HNH - 4533</w:t>
            </w:r>
          </w:p>
        </w:tc>
        <w:tc>
          <w:tcPr>
            <w:tcW w:w="1000" w:type="dxa"/>
            <w:vMerge w:val="restart"/>
            <w:vAlign w:val="center"/>
          </w:tcPr>
          <w:p w14:paraId="12468AB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1742" w:type="dxa"/>
            <w:vMerge w:val="restart"/>
            <w:tcBorders>
              <w:bottom w:val="single" w:color="auto" w:sz="4" w:space="0"/>
            </w:tcBorders>
            <w:vAlign w:val="center"/>
          </w:tcPr>
          <w:p w14:paraId="50335DA2">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5234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3305C79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tcPr>
          <w:p w14:paraId="7BFF68D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tcPr>
          <w:p w14:paraId="3C823BD5">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66F8BB4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4654E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23A698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7B48215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125 Fan – HNH - 4534</w:t>
            </w:r>
          </w:p>
        </w:tc>
        <w:tc>
          <w:tcPr>
            <w:tcW w:w="1000" w:type="dxa"/>
            <w:vMerge w:val="restart"/>
            <w:vAlign w:val="center"/>
          </w:tcPr>
          <w:p w14:paraId="1C44DE9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1742" w:type="dxa"/>
            <w:vMerge w:val="restart"/>
            <w:vAlign w:val="center"/>
          </w:tcPr>
          <w:p w14:paraId="09D4D4A7">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45A9A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3B3BE6D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64F0DEAC">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000" w:type="dxa"/>
            <w:vMerge w:val="continue"/>
            <w:vAlign w:val="center"/>
          </w:tcPr>
          <w:p w14:paraId="4D83FC9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167EDEF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366DD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05B0C52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0325C8D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160 Start – RFQ – 9J54</w:t>
            </w:r>
          </w:p>
        </w:tc>
        <w:tc>
          <w:tcPr>
            <w:tcW w:w="1000" w:type="dxa"/>
            <w:vMerge w:val="restart"/>
            <w:vAlign w:val="center"/>
          </w:tcPr>
          <w:p w14:paraId="1B872F88">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2020</w:t>
            </w:r>
          </w:p>
        </w:tc>
        <w:tc>
          <w:tcPr>
            <w:tcW w:w="1742" w:type="dxa"/>
            <w:vMerge w:val="restart"/>
            <w:vAlign w:val="center"/>
          </w:tcPr>
          <w:p w14:paraId="2241CF07">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01B49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0816AC5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tcPr>
          <w:p w14:paraId="5F41ECF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tcPr>
          <w:p w14:paraId="7700025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4F59702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bl>
    <w:p w14:paraId="1D5C2E48">
      <w:pPr>
        <w:pStyle w:val="221"/>
        <w:numPr>
          <w:ilvl w:val="0"/>
          <w:numId w:val="0"/>
        </w:numPr>
        <w:ind w:leftChars="0"/>
        <w:jc w:val="both"/>
        <w:rPr>
          <w:rFonts w:hint="default" w:ascii="Arial" w:hAnsi="Arial" w:cs="Arial"/>
          <w:sz w:val="17"/>
          <w:szCs w:val="17"/>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5BDAEF18">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Os serviços serão realizados nas dependências da contratada, ou nas dependências do Setor de Transporte, em casos excepcionais, mediante autorização dos Responsáveis (Fiscais da Ata), devendo a mesma permitir livre acesso de representantes da Secretaria, para que se proceda à fiscalização dos trabalhos.</w:t>
      </w:r>
    </w:p>
    <w:p w14:paraId="67ADBABF">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Os serviços deverão ser realizados por técnicos treinados para atuarem nos veículos daquela específica marca. Tanto a manutenção corretiva quanto a manutenção preventiva será quando a Secretaria julgar necessário. </w:t>
      </w:r>
    </w:p>
    <w:p w14:paraId="48C2973B">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A Secretaria por meio da Coordenadoria de Transportes encaminhará no máximo cinco veículos por vez para manutenção. A Secretaria poderá alterar quantitativos, sem que isto implique alteração dos preços ofertados. </w:t>
      </w:r>
    </w:p>
    <w:p w14:paraId="6E838510">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A Contratada se obriga a cumprir todas as condições e prazo fixados pela Secretaria, assim como a observar, atender, respeitar, cumprir e fazer cumprir a legislação aplicável e a favorecer e garantir a qualidade do objeto. </w:t>
      </w:r>
    </w:p>
    <w:p w14:paraId="4EDECFC7">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A Ata, bem como os direitos e obrigações dele decorrentes, não poderá ser subcontratado, cedido ou transferido, total ou parcialmente, nem ser executado em associação da CONTRATADA com terceiros, sem autorização prévia da Secretaria, por escrito, sob pena de aplicação de sanção, inclusive rescisão contratual. Os serviços de borracharia, alinhamento/ balanceamento e lanternagem/ pintura poderão ser subcontratados pela oficina contratada, sendo de sua responsabilidade qualquer falha na execução dos serviços ou por emprego de peças inadequadas. </w:t>
      </w:r>
    </w:p>
    <w:p w14:paraId="0DE178A9">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Operações de reorganização empresarial, tais como fusão, cisão e incorporação deverão ser comunicadas às Secretarias Municipais e, na hipótese de restar caracterizada a frustração das regras disciplinadoras da licitação, ensejarão a rescisão contratual.</w:t>
      </w:r>
    </w:p>
    <w:p w14:paraId="6EB730D2">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O orçamento deverá ser detalhado e fornecido previamente, no prazo máximo de 48 (quarenta e oito) horas, contado a partir do recebimento do veículo pela contratada, com exceção dos serviços de reparo no motor (montagem e desmontagem), funilaria e pintura, em que o prazo será de no máximo </w:t>
      </w:r>
      <w:r>
        <w:rPr>
          <w:rFonts w:hint="default" w:ascii="Arial" w:hAnsi="Arial" w:cs="Arial"/>
          <w:color w:val="auto"/>
          <w:sz w:val="17"/>
          <w:szCs w:val="17"/>
        </w:rPr>
        <w:t>10 (dez)</w:t>
      </w:r>
      <w:r>
        <w:rPr>
          <w:rFonts w:hint="default" w:ascii="Arial" w:hAnsi="Arial" w:cs="Arial"/>
          <w:sz w:val="17"/>
          <w:szCs w:val="17"/>
        </w:rPr>
        <w:t xml:space="preserve"> dias úteis. </w:t>
      </w:r>
    </w:p>
    <w:p w14:paraId="47BEB4B7">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Refazer em, no máximo, 24 horas, contados a partir da comunicação, os serviços que forem rejeitados. Não utilizar mão-de-obra de terceiros SEM EXPRESSA E PRÉVIA AUTORIZAÇÃO DO CONTRATANTE, durante a vigência da Ata. </w:t>
      </w:r>
    </w:p>
    <w:p w14:paraId="69229579">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Os serviços de manutenção preventiva e corretiva deverão ser executados no prazo máximo de </w:t>
      </w:r>
      <w:r>
        <w:rPr>
          <w:rFonts w:hint="default" w:ascii="Arial" w:hAnsi="Arial" w:cs="Arial"/>
          <w:color w:val="auto"/>
          <w:sz w:val="17"/>
          <w:szCs w:val="17"/>
        </w:rPr>
        <w:t>05 (cinco) dias</w:t>
      </w:r>
      <w:r>
        <w:rPr>
          <w:rFonts w:hint="default" w:ascii="Arial" w:hAnsi="Arial" w:cs="Arial"/>
          <w:sz w:val="17"/>
          <w:szCs w:val="17"/>
        </w:rPr>
        <w:t xml:space="preserve"> a partir da autorização de execução elaboradas Secretarias. O Contratante poderá recusar o orçamento, pedir sua revisão ou aceitá-lo parcialmente, comprometendo-se a Contratada a executar ou fornecer o que for aprovado em todo ou em parte.</w:t>
      </w:r>
    </w:p>
    <w:p w14:paraId="1B6D2898">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Entende-se por manutenção preventiva as revisões e serviços de caráter preventivo determinadas pelo fabricante e explicitadas no manual do proprietário com a finalidade de avaliar as condições para o perfeito funcionamento dos veículos, além de detectar possíveis desgastes em peças, acessórios e outros elementos, objetivando manter o veículo em perfeito estado de uso, de acordo com os manuais e normas específicas, incluindo as trocas autorizadas de peças que se fizerem necessárias ao seu bom funcionamento. Esses serviços deverão ser executados de acordo com a quilometragem especificada no manual do proprietário. </w:t>
      </w:r>
    </w:p>
    <w:p w14:paraId="3E180230">
      <w:pPr>
        <w:pStyle w:val="220"/>
        <w:keepNext w:val="0"/>
        <w:keepLines w:val="0"/>
        <w:pageBreakBefore w:val="0"/>
        <w:widowControl/>
        <w:numPr>
          <w:ilvl w:val="0"/>
          <w:numId w:val="24"/>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Entende-se por manutenção corretiva as revisões e serviços de caráter corretivo, não previstas no manual do proprietário, mas que existem em função de adversidades em função de uso da unidade automotora, para possibilitar a reparação de defeitos e falhas em qualquer parte do veículo, com substituição de peças e acessórios genuínos, desde que autorizado pelas Secretarias, após verificação inicial pela Coordenadoria de Transportes, bem como serviços de mecânica, lanternagem, eletricidade, capotaria, vidraçaria, lubrificação (troca de óleo), retífica, borracharia, pintura, que se façam necessários para tornar operacional o veículo.</w:t>
      </w:r>
    </w:p>
    <w:p w14:paraId="18116A6A">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Esses serviços deverão ser executados de acordo com a necessidade verificada na unidade automotora. A </w:t>
      </w:r>
      <w:r>
        <w:rPr>
          <w:rFonts w:hint="default" w:ascii="Arial" w:hAnsi="Arial" w:cs="Arial"/>
          <w:bCs/>
          <w:sz w:val="17"/>
          <w:szCs w:val="17"/>
        </w:rPr>
        <w:t xml:space="preserve">CONTRATADA </w:t>
      </w:r>
      <w:r>
        <w:rPr>
          <w:rFonts w:hint="default" w:ascii="Arial" w:hAnsi="Arial" w:cs="Arial"/>
          <w:bCs/>
          <w:color w:val="auto"/>
          <w:sz w:val="17"/>
          <w:szCs w:val="17"/>
        </w:rPr>
        <w:t>será responsável por t</w:t>
      </w:r>
      <w:r>
        <w:rPr>
          <w:rFonts w:hint="default" w:ascii="Arial" w:hAnsi="Arial" w:cs="Arial"/>
          <w:color w:val="auto"/>
          <w:sz w:val="17"/>
          <w:szCs w:val="17"/>
        </w:rPr>
        <w:t>ransportar</w:t>
      </w:r>
      <w:r>
        <w:rPr>
          <w:rFonts w:hint="default" w:ascii="Arial" w:hAnsi="Arial" w:cs="Arial"/>
          <w:sz w:val="17"/>
          <w:szCs w:val="17"/>
        </w:rPr>
        <w:t xml:space="preserve"> os veículos da sede das Secretarias até a oficina e da oficina até as sedes das Secretarias. </w:t>
      </w:r>
    </w:p>
    <w:p w14:paraId="001CAA74">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Entregar os veículos após a execução dos serviços, limpos internamente e externamente e aspirado quando for o caso. Cumprir fielmente o objeto licitado, de forma que os serviços sejam realizados com esmero e perfeição, executando-o sob sua inteira e exclusiva responsabilidade. </w:t>
      </w:r>
    </w:p>
    <w:p w14:paraId="6E5670C0">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Zelar pela guarda dos veículos que estiverem na sua responsabilidade, responsabilizando-se por qualquer dano ocorrido aos mesmos. Responsabilizar-se integralmente pelos veículos recebidos do Contratante,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 </w:t>
      </w:r>
    </w:p>
    <w:p w14:paraId="1A454E87">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Responder, integral e exclusivamente por todos os danos e prejuízos de qualquer natureza causados direta ou indiretamente, por seus empregados, representantes ou prepostos aos bens das Secretarias ou a terceiros, decorrentes de sua culpa ou dolo na execução do objeto licitado, não excluindo ou reduzindo essa responsabilidade da fiscalização ou acompanhamento pelo Contratante.</w:t>
      </w:r>
    </w:p>
    <w:p w14:paraId="44FE9338">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Arcar com todos os prejuízos resultantes de ações judiciais a que as Secretarias forem compelido a responder por força da futura contratação, incluindo despesas judiciais e honorários advocatícios. Comparecer à sede do contratante, sempre que solicitado, por meio do preposto, no prazo de 24 (vinte e quatro) horas da convocação para esclarecimento de quaisquer problemas relativos aos serviços contratados. </w:t>
      </w:r>
    </w:p>
    <w:p w14:paraId="18FE1FDE">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Comunicar imediatamente às Secretarias qualquer irregularidade ou dificuldade que impossibilite a execução do objeto licitado. Executar os serviços contratados somente com prévia autorização do Contratante. Executar quaisquer serviços não relacionados no Termo de Referência considerados essenciais ou imprescindíveis ao funcionamento dos veículos. </w:t>
      </w:r>
    </w:p>
    <w:p w14:paraId="0A337139">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Indicar, imediatamente à assinatura da Ata e sempre que ocorrer alteração, um preposto com plenos poderes para representá-la, administrativa ou judicialmente, assim como decidir acerca de questões relativas aos serviços, e atender aos chamados da Coordenadoria de Transportes da Secretaria, principalmente em situações de urgência, inclusive nos finais de semana e feriados, por meio de telefonia móvel ou outro meio igualmente eficaz. </w:t>
      </w:r>
    </w:p>
    <w:p w14:paraId="16E5116C">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Fornecer números telefônicos ou outros meios igualmente eficazes, para contato das Secretarias com o Preposto, ainda que fora do horário normal de expediente, sem que isto gere qualquer custo adicional. Possuir pessoal especializado em manutenção de veículos automotores, para executar os serviços nos veículos de cada marca específica. Entregar na Coordenadoria de Transporte das Secretarias as peças e componentes substituídos, devidamente acondicionadas, no ato da entrega do veículo consertado.</w:t>
      </w:r>
    </w:p>
    <w:p w14:paraId="42467919">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A Contratada obriga-se a entregar </w:t>
      </w:r>
      <w:r>
        <w:rPr>
          <w:rFonts w:hint="default" w:cs="Arial"/>
          <w:sz w:val="17"/>
          <w:szCs w:val="17"/>
          <w:lang w:val="pt-BR"/>
        </w:rPr>
        <w:t>às</w:t>
      </w:r>
      <w:r>
        <w:rPr>
          <w:rFonts w:hint="default" w:ascii="Arial" w:hAnsi="Arial" w:cs="Arial"/>
          <w:sz w:val="17"/>
          <w:szCs w:val="17"/>
        </w:rPr>
        <w:t xml:space="preserve"> Secretaria</w:t>
      </w:r>
      <w:r>
        <w:rPr>
          <w:rFonts w:hint="default" w:cs="Arial"/>
          <w:sz w:val="17"/>
          <w:szCs w:val="17"/>
          <w:lang w:val="pt-BR"/>
        </w:rPr>
        <w:t>s</w:t>
      </w:r>
      <w:r>
        <w:rPr>
          <w:rFonts w:hint="default" w:ascii="Arial" w:hAnsi="Arial" w:cs="Arial"/>
          <w:sz w:val="17"/>
          <w:szCs w:val="17"/>
        </w:rPr>
        <w:t xml:space="preserve">, no ato da assinatura da Ata, na condição de anexos, as tabelas vigentes elaboradas/fornecidas pelos fabricantes dos veículos e utilizadas pelas concessionárias, relativas ao número de horas utilizadas na execução de cada tipo de serviços e relativas, ainda, ao valor das peças e componentes, bem como suas atualizações subsequentes durante a vigência da Ata. </w:t>
      </w:r>
    </w:p>
    <w:p w14:paraId="7563B63B">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Fornecer todos os materiais, ferramentas e equipamentos necessários à realização dos serviços, conforme especificações constantes no Termo de Referência. Reparar, corrigir, remover, substituir ou refazer, às suas expensas, no todo ou em parte, os trabalhos nos quais forem detectados defeitos, vícios ou incorreções resultantes da prestação dos serviços, imediatamente ou no prazo estabelecido, sem qualquer custo adicional às Secretarias. </w:t>
      </w:r>
    </w:p>
    <w:p w14:paraId="1582051A">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Entregar os serviços objeto do Ata dentro das condições estabelecidas e respeitando os prazos fixados. Executar o Ata responsabilizando-se pela perfeição técnica dos serviços prestados. Fornecer todos os materiais a serem empregados na realização dos serviços, novos, comprovadamente de primeira qualidade. </w:t>
      </w:r>
    </w:p>
    <w:p w14:paraId="463891D1">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Cumprir os prazos previstos na Ata ou outros que venham a ser fixados pelas Secretarias. Dirimir qualquer dúvida e prestar esclarecimentos acerca da execução da Ata, durante toda a sua vigência, a pedido das Secretarias. </w:t>
      </w:r>
    </w:p>
    <w:p w14:paraId="49CF98AE">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Assegurar e facilitar o acompanhamento e a fiscalização dos serviços objeto da Ata pela equipe da Coordenadoria de Transportes das Secretarias, durante a sua execução. Manter, durante a vigência da Ata, em compatibilidade com as obrigações assumidas, todas as condições de habilitação e qualificação exigidas na licitação, devendo comunicar as Secretarias, imediatamente, qualquer alteração que possa comprometer a continuidade da contratação, bem como substituir os documentos com prazo de validade expirado.</w:t>
      </w:r>
    </w:p>
    <w:p w14:paraId="039B7A5F">
      <w:pPr>
        <w:pStyle w:val="220"/>
        <w:numPr>
          <w:ilvl w:val="0"/>
          <w:numId w:val="24"/>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bCs/>
          <w:sz w:val="17"/>
          <w:szCs w:val="17"/>
        </w:rPr>
        <w:t xml:space="preserve">Possuir oficina bem estruturada, situada a um raio máximo de </w:t>
      </w:r>
      <w:r>
        <w:rPr>
          <w:rFonts w:hint="default" w:ascii="Arial" w:hAnsi="Arial" w:cs="Arial"/>
          <w:bCs/>
          <w:color w:val="auto"/>
          <w:sz w:val="17"/>
          <w:szCs w:val="17"/>
        </w:rPr>
        <w:t>15km</w:t>
      </w:r>
      <w:r>
        <w:rPr>
          <w:rFonts w:hint="default" w:ascii="Arial" w:hAnsi="Arial" w:cs="Arial"/>
          <w:bCs/>
          <w:sz w:val="17"/>
          <w:szCs w:val="17"/>
        </w:rPr>
        <w:t xml:space="preserve"> da sede da Prefeitura Municipal de Cataguases e ainda:</w:t>
      </w:r>
      <w:r>
        <w:rPr>
          <w:rFonts w:hint="default" w:ascii="Arial" w:hAnsi="Arial" w:cs="Arial"/>
          <w:b/>
          <w:bCs/>
          <w:sz w:val="17"/>
          <w:szCs w:val="17"/>
        </w:rPr>
        <w:t xml:space="preserve"> </w:t>
      </w:r>
      <w:r>
        <w:rPr>
          <w:rFonts w:hint="default" w:ascii="Arial" w:hAnsi="Arial" w:cs="Arial"/>
          <w:sz w:val="17"/>
          <w:szCs w:val="17"/>
        </w:rPr>
        <w:t xml:space="preserve">Possuir área útil disponível para receber, com segurança, simultaneamente, no mínimo, 2 (dois) veículos para manutenção. </w:t>
      </w:r>
    </w:p>
    <w:p w14:paraId="542BF917">
      <w:pPr>
        <w:keepNext w:val="0"/>
        <w:keepLines w:val="0"/>
        <w:pageBreakBefore w:val="0"/>
        <w:widowControl/>
        <w:numPr>
          <w:ilvl w:val="0"/>
          <w:numId w:val="24"/>
        </w:numPr>
        <w:tabs>
          <w:tab w:val="left" w:pos="240"/>
          <w:tab w:val="left" w:pos="480"/>
          <w:tab w:val="left" w:pos="6972"/>
          <w:tab w:val="clear" w:pos="425"/>
        </w:tabs>
        <w:kinsoku/>
        <w:wordWrap/>
        <w:overflowPunct/>
        <w:topLinePunct w:val="0"/>
        <w:autoSpaceDE/>
        <w:autoSpaceDN/>
        <w:bidi w:val="0"/>
        <w:adjustRightInd/>
        <w:snapToGrid/>
        <w:spacing w:line="240" w:lineRule="auto"/>
        <w:ind w:left="6" w:leftChars="0" w:hanging="6" w:firstLineChars="0"/>
        <w:jc w:val="both"/>
        <w:textAlignment w:val="auto"/>
        <w:rPr>
          <w:rFonts w:hint="default" w:ascii="Arial" w:hAnsi="Arial" w:cs="Arial"/>
          <w:sz w:val="17"/>
          <w:szCs w:val="17"/>
        </w:rPr>
      </w:pPr>
      <w:r>
        <w:rPr>
          <w:rFonts w:hint="default" w:ascii="Arial" w:hAnsi="Arial" w:cs="Arial"/>
          <w:sz w:val="17"/>
          <w:szCs w:val="17"/>
        </w:rPr>
        <w:t xml:space="preserve">Possuir os recursos essenciais para que os serviços prestados tenham a técnica qualidade/presteza exigida para os padrões do fabricante dos veículos tais como: Possuir pessoal treinado para executar os serviços nos veículos de cada marca específica; 01 (um) equipamento eletrônico de rastreamento de problemas elétricos/eletrônicos nos veículos; 01 (um) carregador de baterias; 01 (um) teste para análise de baterias; 01 (uma) bancada de teste para bomba elétrica de combustível (gasolina/ álcool); equipamentos para regulagem eletrônica de motor: scanner, teste de bico, ultrassom e multímetro; equipamentos para serviços de suspensão: prensa hidráulica, torquímetro e parquímetro; Elevadores hidráulicos ou elétricos para suspensão dos veículos; Kaptor ou rastreador para a análise de sistemas de injeção eletrônica; Ferramentas adequadas para a realização dos reparos nos veículos com segurança e precisão; 01 (um) equipamento de regulagem de faróis. </w:t>
      </w:r>
    </w:p>
    <w:p w14:paraId="3F2D0003">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6" w:leftChars="0" w:hanging="6" w:firstLineChars="0"/>
        <w:textAlignment w:val="auto"/>
        <w:rPr>
          <w:rFonts w:hint="default" w:ascii="Arial" w:hAnsi="Arial" w:cs="Arial"/>
          <w:sz w:val="17"/>
          <w:szCs w:val="17"/>
        </w:rPr>
      </w:pPr>
      <w:r>
        <w:rPr>
          <w:rFonts w:hint="default" w:ascii="Arial" w:hAnsi="Arial" w:cs="Arial"/>
          <w:sz w:val="17"/>
          <w:szCs w:val="17"/>
        </w:rPr>
        <w:t>O parcelamento dos serviços será conforme a demanda e disponibilidade orçamentária.</w:t>
      </w:r>
    </w:p>
    <w:p w14:paraId="3B30CCC4">
      <w:pPr>
        <w:pStyle w:val="306"/>
        <w:numPr>
          <w:ilvl w:val="0"/>
          <w:numId w:val="24"/>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7CDA855E">
      <w:pPr>
        <w:pStyle w:val="306"/>
        <w:numPr>
          <w:ilvl w:val="0"/>
          <w:numId w:val="24"/>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4C44770A">
      <w:pPr>
        <w:pStyle w:val="306"/>
        <w:numPr>
          <w:ilvl w:val="0"/>
          <w:numId w:val="24"/>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 xml:space="preserve">Se a qualidade dos serviços não corresponderem às especificações exigidas não será aceita, devendo ser substituída no prazo máximo de 05 (cinco) dias. </w:t>
      </w:r>
    </w:p>
    <w:p w14:paraId="54C48770">
      <w:pPr>
        <w:pStyle w:val="306"/>
        <w:numPr>
          <w:ilvl w:val="0"/>
          <w:numId w:val="24"/>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 xml:space="preserve">Os serviços deverão ser entregues acompanhados da nota fiscal. </w:t>
      </w:r>
    </w:p>
    <w:p w14:paraId="19F18A21">
      <w:pPr>
        <w:pStyle w:val="306"/>
        <w:numPr>
          <w:ilvl w:val="0"/>
          <w:numId w:val="24"/>
        </w:numPr>
        <w:tabs>
          <w:tab w:val="left" w:pos="0"/>
          <w:tab w:val="left" w:pos="480"/>
          <w:tab w:val="clear" w:pos="425"/>
        </w:tabs>
        <w:spacing w:before="0" w:after="0" w:line="240" w:lineRule="auto"/>
        <w:ind w:left="5" w:leftChars="0" w:hanging="5" w:firstLineChars="0"/>
        <w:rPr>
          <w:rFonts w:hint="default" w:ascii="Arial" w:hAnsi="Arial" w:cs="Arial"/>
          <w:b/>
          <w:sz w:val="17"/>
          <w:szCs w:val="17"/>
        </w:rPr>
      </w:pPr>
      <w:r>
        <w:rPr>
          <w:rFonts w:hint="default" w:ascii="Arial" w:hAnsi="Arial" w:cs="Arial"/>
          <w:sz w:val="17"/>
          <w:szCs w:val="17"/>
        </w:rPr>
        <w:t>As Secretarias reservam para si o direito de não aceitar ou receber qualquer produto ou serviço em desacordo com o previsto no Termo de Referência. Qualquer tolerância por parte das Secretarias, no que tange ao cumprimento das obrigações ora assumidas pela CONTRATADA, não importará, em hipótese alguma, em alteração contratual, novação, transação ou perdão, permanecendo em pleno vigor todas as condições do ajuste e podendo as Secretarias exigir o seu cumprimento a qualquer tempo. A contratação não estabelece qualquer vínculo de natureza empregatícia ou de responsabilidade entre as Secretarias e os agentes, prepostos, empregados ou demais pessoas da CONTRATADA designadas para a execução do objeto contratado, sendo a CONTRATADA a única responsável por todas as obrigações e encargos decorrentes das de trabalho entre ela e seus profissionais ou contratados, previstos na legislação pátria vigente, seja trabalhista, previdenciária, social, de caráter securitário ou qualquer outra.</w:t>
      </w:r>
    </w:p>
    <w:p w14:paraId="4D78AC40">
      <w:pPr>
        <w:pStyle w:val="306"/>
        <w:numPr>
          <w:ilvl w:val="0"/>
          <w:numId w:val="24"/>
        </w:numPr>
        <w:tabs>
          <w:tab w:val="left" w:pos="0"/>
          <w:tab w:val="left" w:pos="480"/>
          <w:tab w:val="clear" w:pos="425"/>
        </w:tabs>
        <w:spacing w:before="0" w:after="0" w:line="240" w:lineRule="auto"/>
        <w:ind w:left="5" w:leftChars="0" w:hanging="5" w:firstLineChars="0"/>
        <w:rPr>
          <w:rFonts w:hint="default" w:ascii="Arial" w:hAnsi="Arial" w:cs="Arial"/>
          <w:b w:val="0"/>
          <w:bCs/>
          <w:color w:val="auto"/>
          <w:sz w:val="17"/>
          <w:szCs w:val="17"/>
        </w:rPr>
      </w:pPr>
      <w:r>
        <w:rPr>
          <w:rFonts w:hint="default" w:ascii="Arial" w:hAnsi="Arial" w:cs="Arial"/>
          <w:b w:val="0"/>
          <w:bCs/>
          <w:sz w:val="17"/>
          <w:szCs w:val="17"/>
        </w:rPr>
        <w:t xml:space="preserve">SUBCONTRATAÇÃO </w:t>
      </w:r>
    </w:p>
    <w:p w14:paraId="522D988D">
      <w:pPr>
        <w:pStyle w:val="306"/>
        <w:numPr>
          <w:ilvl w:val="0"/>
          <w:numId w:val="0"/>
        </w:numPr>
        <w:tabs>
          <w:tab w:val="left" w:pos="0"/>
          <w:tab w:val="left" w:pos="480"/>
        </w:tabs>
        <w:spacing w:before="0" w:after="0" w:line="240" w:lineRule="auto"/>
        <w:ind w:leftChars="0"/>
        <w:rPr>
          <w:rFonts w:hint="default" w:ascii="Arial" w:hAnsi="Arial" w:cs="Arial"/>
          <w:b w:val="0"/>
          <w:bCs/>
          <w:color w:val="auto"/>
          <w:sz w:val="17"/>
          <w:szCs w:val="17"/>
        </w:rPr>
      </w:pPr>
      <w:r>
        <w:rPr>
          <w:rFonts w:hint="default" w:cs="Arial"/>
          <w:b w:val="0"/>
          <w:bCs/>
          <w:sz w:val="17"/>
          <w:szCs w:val="17"/>
          <w:lang w:val="pt-BR"/>
        </w:rPr>
        <w:t>2.33.1 S</w:t>
      </w:r>
      <w:r>
        <w:rPr>
          <w:rFonts w:hint="default" w:ascii="Arial" w:hAnsi="Arial" w:cs="Arial"/>
          <w:b w:val="0"/>
          <w:bCs/>
          <w:color w:val="auto"/>
          <w:sz w:val="17"/>
          <w:szCs w:val="17"/>
        </w:rPr>
        <w:t>erá admitida a subcontratação de mão-de-obra de terceiros somente com EXPRESSA E PRÉVIA AUTORIZAÇÃO DO CONTRATANTE.</w:t>
      </w:r>
    </w:p>
    <w:p w14:paraId="113B9889">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cs="Arial"/>
          <w:b w:val="0"/>
          <w:bCs/>
          <w:sz w:val="17"/>
          <w:szCs w:val="17"/>
          <w:lang w:val="pt-BR"/>
        </w:rPr>
      </w:pPr>
      <w:r>
        <w:rPr>
          <w:rFonts w:hint="default" w:cs="Arial"/>
          <w:b w:val="0"/>
          <w:bCs/>
          <w:sz w:val="17"/>
          <w:szCs w:val="17"/>
          <w:lang w:val="pt-BR"/>
        </w:rPr>
        <w:t xml:space="preserve">2.34 </w:t>
      </w:r>
      <w:r>
        <w:rPr>
          <w:rFonts w:hint="default" w:ascii="Arial" w:hAnsi="Arial" w:cs="Arial"/>
          <w:b w:val="0"/>
          <w:bCs/>
          <w:sz w:val="17"/>
          <w:szCs w:val="17"/>
        </w:rPr>
        <w:t>GARANTIA DA CONTRATAÇÃ</w:t>
      </w:r>
      <w:r>
        <w:rPr>
          <w:rFonts w:hint="default" w:cs="Arial"/>
          <w:b w:val="0"/>
          <w:bCs/>
          <w:sz w:val="17"/>
          <w:szCs w:val="17"/>
          <w:lang w:val="pt-BR"/>
        </w:rPr>
        <w:t>O</w:t>
      </w:r>
    </w:p>
    <w:p w14:paraId="7E8D51C8">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bCs/>
          <w:sz w:val="17"/>
          <w:szCs w:val="17"/>
        </w:rPr>
      </w:pPr>
      <w:r>
        <w:rPr>
          <w:rFonts w:hint="default" w:cs="Arial"/>
          <w:b w:val="0"/>
          <w:bCs/>
          <w:sz w:val="17"/>
          <w:szCs w:val="17"/>
          <w:lang w:val="pt-BR"/>
        </w:rPr>
        <w:t xml:space="preserve">2.34.1 </w:t>
      </w:r>
      <w:r>
        <w:rPr>
          <w:rFonts w:hint="default" w:ascii="Arial" w:hAnsi="Arial" w:cs="Arial"/>
          <w:b w:val="0"/>
          <w:bCs/>
          <w:color w:val="auto"/>
          <w:sz w:val="17"/>
          <w:szCs w:val="17"/>
        </w:rPr>
        <w:t>Será exigida garantia mínima de 90 (noventa) dias</w:t>
      </w:r>
      <w:r>
        <w:rPr>
          <w:rFonts w:hint="default" w:ascii="Arial" w:hAnsi="Arial" w:cs="Arial"/>
          <w:b w:val="0"/>
          <w:bCs/>
          <w:sz w:val="17"/>
          <w:szCs w:val="17"/>
        </w:rPr>
        <w:t xml:space="preserve"> para os serviços e</w:t>
      </w:r>
      <w:r>
        <w:rPr>
          <w:rFonts w:hint="default" w:ascii="Arial" w:hAnsi="Arial" w:eastAsia="LiberationSerif-Bold" w:cs="Arial"/>
          <w:b w:val="0"/>
          <w:bCs/>
          <w:sz w:val="17"/>
          <w:szCs w:val="17"/>
          <w:lang w:eastAsia="zh-CN"/>
        </w:rPr>
        <w:t xml:space="preserve"> das peças e acessórios não poderá ser inferior a 06 (seis) meses</w:t>
      </w:r>
      <w:r>
        <w:rPr>
          <w:rFonts w:hint="default" w:ascii="Arial" w:hAnsi="Arial" w:cs="Arial"/>
          <w:b w:val="0"/>
          <w:bCs/>
          <w:sz w:val="17"/>
          <w:szCs w:val="17"/>
        </w:rPr>
        <w:t xml:space="preserve">. </w:t>
      </w:r>
    </w:p>
    <w:p w14:paraId="5062597F">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b w:val="0"/>
          <w:bCs/>
          <w:sz w:val="17"/>
          <w:szCs w:val="17"/>
          <w:lang w:val="pt-BR"/>
        </w:rPr>
        <w:t xml:space="preserve">2.35 </w:t>
      </w:r>
      <w:r>
        <w:rPr>
          <w:rFonts w:hint="default" w:ascii="Arial" w:hAnsi="Arial" w:cs="Arial"/>
          <w:sz w:val="17"/>
          <w:szCs w:val="17"/>
        </w:rPr>
        <w:t>DAS CONDIÇÕES DE ENTREGA</w:t>
      </w:r>
    </w:p>
    <w:p w14:paraId="7C8C7988">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2.35.1 </w:t>
      </w:r>
      <w:r>
        <w:rPr>
          <w:rFonts w:hint="default" w:ascii="Arial" w:hAnsi="Arial" w:cs="Arial"/>
          <w:sz w:val="17"/>
          <w:szCs w:val="17"/>
        </w:rPr>
        <w:t>O parcelamento dos serviços será conforme a demanda e disponibilidade orçamentária.</w:t>
      </w:r>
    </w:p>
    <w:p w14:paraId="118DC0C7">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2.35.2 </w:t>
      </w: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0FF0073C">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2.35.3</w:t>
      </w:r>
      <w:r>
        <w:rPr>
          <w:rFonts w:hint="default" w:ascii="Arial" w:hAnsi="Arial" w:cs="Arial"/>
          <w:sz w:val="17"/>
          <w:szCs w:val="17"/>
        </w:rPr>
        <w:t>As detentoras da presente Ata de Registro de Preços serão obrigadas atender todos os pedidos efetuados durante a vigência desta Ata.</w:t>
      </w:r>
    </w:p>
    <w:p w14:paraId="5F0EA68A">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2.35.4 </w:t>
      </w:r>
      <w:r>
        <w:rPr>
          <w:rFonts w:hint="default" w:ascii="Arial" w:hAnsi="Arial" w:cs="Arial"/>
          <w:sz w:val="17"/>
          <w:szCs w:val="17"/>
        </w:rPr>
        <w:t xml:space="preserve">Se a qualidade dos serviços não corresponderem às especificações exigidas não será aceita, devendo ser substituída no prazo máximo de 05 (cinco) dias. </w:t>
      </w:r>
    </w:p>
    <w:p w14:paraId="02D0E619">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2.35.5 </w:t>
      </w:r>
      <w:r>
        <w:rPr>
          <w:rFonts w:hint="default" w:ascii="Arial" w:hAnsi="Arial" w:cs="Arial"/>
          <w:sz w:val="17"/>
          <w:szCs w:val="17"/>
        </w:rPr>
        <w:t xml:space="preserve">Os serviços deverão ser entregues acompanhados da nota fiscal. </w:t>
      </w:r>
    </w:p>
    <w:p w14:paraId="69B389D6">
      <w:pPr>
        <w:pStyle w:val="279"/>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7"/>
          <w:szCs w:val="17"/>
        </w:rPr>
      </w:pPr>
      <w:r>
        <w:rPr>
          <w:rFonts w:hint="default" w:ascii="Arial" w:hAnsi="Arial" w:cs="Arial"/>
          <w:sz w:val="17"/>
          <w:szCs w:val="17"/>
          <w:lang w:val="pt-BR"/>
        </w:rPr>
        <w:t xml:space="preserve">2.36 </w:t>
      </w:r>
      <w:r>
        <w:rPr>
          <w:rFonts w:hint="default" w:ascii="Arial" w:hAnsi="Arial" w:cs="Arial"/>
          <w:sz w:val="17"/>
          <w:szCs w:val="17"/>
        </w:rPr>
        <w:t>DA GARANTIA DOS OBJETOS</w:t>
      </w:r>
    </w:p>
    <w:p w14:paraId="273560DC">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2.36.1 </w:t>
      </w:r>
      <w:r>
        <w:rPr>
          <w:rFonts w:hint="default" w:ascii="Arial" w:hAnsi="Arial" w:cs="Arial"/>
          <w:sz w:val="17"/>
          <w:szCs w:val="17"/>
        </w:rPr>
        <w:t xml:space="preserve">O prazo de garantia é aquele estabelecido na Lei n° 8.078 de 11 de Setembro de 1990 (Código de Defesa do Consumidor). </w:t>
      </w:r>
    </w:p>
    <w:p w14:paraId="3021F219">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substituir no local indicado para entrega, sem nenhum custo adicional, durante o prazo de garantia, os produtos que apresentarem defeitos de fabricação.</w:t>
      </w:r>
    </w:p>
    <w:p w14:paraId="0CE74CF8">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091/2024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5"/>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43C566E9">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5.1.1 </w:t>
      </w:r>
      <w:r>
        <w:rPr>
          <w:rFonts w:hint="default" w:ascii="Arial" w:hAnsi="Arial" w:cs="Arial"/>
          <w:sz w:val="17"/>
          <w:szCs w:val="17"/>
        </w:rPr>
        <w:t>A CONTRATADA deverá fornecer o objeto segundo a descrição do produto licitado, nas quantidades descriminadas na Autorização de Fornecimento enviada previamente.</w:t>
      </w:r>
    </w:p>
    <w:p w14:paraId="3F7F2AD4">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5.1.2 </w:t>
      </w: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65306C2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5.1.3 </w:t>
      </w:r>
      <w:r>
        <w:rPr>
          <w:rFonts w:hint="default" w:ascii="Arial" w:hAnsi="Arial" w:cs="Arial"/>
          <w:sz w:val="17"/>
          <w:szCs w:val="17"/>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0CC558A9">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5.1.4 </w:t>
      </w:r>
      <w:r>
        <w:rPr>
          <w:rFonts w:hint="default" w:ascii="Arial" w:hAnsi="Arial" w:cs="Arial"/>
          <w:sz w:val="17"/>
          <w:szCs w:val="17"/>
        </w:rPr>
        <w:t>Durante a vigência da Ata, a entrega ocorrerá de forma parcelada, de acordo com as Autorizações de Fornecimento.</w:t>
      </w:r>
    </w:p>
    <w:p w14:paraId="6CBF5C7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5.1.5 </w:t>
      </w:r>
      <w:r>
        <w:rPr>
          <w:rFonts w:hint="default" w:ascii="Arial" w:hAnsi="Arial" w:cs="Arial"/>
          <w:sz w:val="17"/>
          <w:szCs w:val="17"/>
        </w:rPr>
        <w:t>A CONTRATADA deverá prestar informações e esclarecimentos que venham a ser solicitados pela CONTRATANTE.</w:t>
      </w:r>
    </w:p>
    <w:p w14:paraId="1DCC6E75">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5.1.6 </w:t>
      </w:r>
      <w:r>
        <w:rPr>
          <w:rFonts w:hint="default" w:ascii="Arial" w:hAnsi="Arial" w:cs="Arial"/>
          <w:sz w:val="17"/>
          <w:szCs w:val="17"/>
        </w:rPr>
        <w:t xml:space="preserve">A CONTRATADA se responsabilizará, pelo fornecimento de toda documentação, manuais, termos de garantia, certificados. </w:t>
      </w:r>
    </w:p>
    <w:p w14:paraId="7EF68C95">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5.1.7 </w:t>
      </w:r>
      <w:r>
        <w:rPr>
          <w:rFonts w:hint="default" w:ascii="Arial" w:hAnsi="Arial" w:cs="Arial"/>
          <w:sz w:val="17"/>
          <w:szCs w:val="17"/>
        </w:rPr>
        <w:t xml:space="preserve">A CONTRATADA deverá dar ciência imediata e por escrito à CONTRATANTE sobre qualquer anormalidade que possa afetar a execução da Ata. </w:t>
      </w:r>
    </w:p>
    <w:p w14:paraId="61A11A3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5.1.8 </w:t>
      </w:r>
      <w:r>
        <w:rPr>
          <w:rFonts w:hint="default" w:ascii="Arial" w:hAnsi="Arial" w:cs="Arial"/>
          <w:sz w:val="17"/>
          <w:szCs w:val="17"/>
        </w:rPr>
        <w:t>A CONTRATADA deverá atender prontamente qualquer reclamação, exigência ou observação realizada pela CONTRATANTE.</w:t>
      </w:r>
    </w:p>
    <w:p w14:paraId="4831488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5.1.9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4958604">
      <w:pPr>
        <w:pStyle w:val="307"/>
        <w:numPr>
          <w:ilvl w:val="0"/>
          <w:numId w:val="0"/>
        </w:numPr>
        <w:tabs>
          <w:tab w:val="left" w:pos="240"/>
          <w:tab w:val="left" w:pos="284"/>
          <w:tab w:val="left" w:pos="480"/>
        </w:tabs>
        <w:autoSpaceDE w:val="0"/>
        <w:autoSpaceDN w:val="0"/>
        <w:adjustRightInd w:val="0"/>
        <w:spacing w:before="0" w:after="0" w:line="240" w:lineRule="auto"/>
        <w:ind w:leftChars="0"/>
        <w:jc w:val="both"/>
        <w:rPr>
          <w:rFonts w:hint="default" w:ascii="Arial" w:hAnsi="Arial" w:cs="Arial"/>
          <w:sz w:val="17"/>
          <w:szCs w:val="17"/>
        </w:rPr>
      </w:pPr>
      <w:r>
        <w:rPr>
          <w:rFonts w:hint="default" w:cs="Arial"/>
          <w:sz w:val="17"/>
          <w:szCs w:val="17"/>
          <w:lang w:val="pt-BR"/>
        </w:rPr>
        <w:t xml:space="preserve">5.1.10 </w:t>
      </w:r>
      <w:r>
        <w:rPr>
          <w:rFonts w:hint="default" w:ascii="Arial" w:hAnsi="Arial" w:cs="Arial"/>
          <w:sz w:val="17"/>
          <w:szCs w:val="17"/>
        </w:rPr>
        <w:t>Cumprir a Lei 4.971/2023 o qual o qual estabelece o programa municipal de contratação de mulheres vítimas de violência doméstica.</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7"/>
          <w:szCs w:val="17"/>
        </w:rPr>
      </w:pPr>
    </w:p>
    <w:p w14:paraId="292907C6">
      <w:pPr>
        <w:pStyle w:val="221"/>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27F1D2E8">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5.2.1 </w:t>
      </w:r>
      <w:r>
        <w:rPr>
          <w:rFonts w:hint="default" w:ascii="Arial" w:hAnsi="Arial" w:cs="Arial"/>
          <w:sz w:val="17"/>
          <w:szCs w:val="17"/>
        </w:rPr>
        <w:t xml:space="preserve">A CONTRATANTE deverá fornecer todos os esclarecimentos necessários à execução dos serviços contratados. </w:t>
      </w:r>
    </w:p>
    <w:p w14:paraId="5B6258BD">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5.2.2 </w:t>
      </w:r>
      <w:r>
        <w:rPr>
          <w:rFonts w:hint="default" w:ascii="Arial" w:hAnsi="Arial" w:cs="Arial"/>
          <w:sz w:val="17"/>
          <w:szCs w:val="17"/>
        </w:rPr>
        <w:t>A CONTRATANTE deverá acompanhar e fiscalizar os serviços, sob os aspectos quantitativos e qualitativos, anotando em registro próprio as falhas detectadas e comunicando ocorrências de quaisquer fatos que exijam medidas corretivas por parte da contratada.</w:t>
      </w:r>
    </w:p>
    <w:p w14:paraId="4488D43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5.2.3 </w:t>
      </w:r>
      <w:r>
        <w:rPr>
          <w:rFonts w:hint="default" w:ascii="Arial" w:hAnsi="Arial" w:cs="Arial"/>
          <w:sz w:val="17"/>
          <w:szCs w:val="17"/>
        </w:rPr>
        <w:t>A CONTRATANTE deverá expedir, por meio da Coordenadoria de Transportes, atestado de inspeção dos serviços prestados, que servirá como instrumento de avaliação do cumprimento das obrigações contratuais e constituirá documento indispensável para a liberação dos pagamentos.</w:t>
      </w:r>
    </w:p>
    <w:p w14:paraId="0381445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5.2.4 </w:t>
      </w:r>
      <w:r>
        <w:rPr>
          <w:rFonts w:hint="default" w:ascii="Arial" w:hAnsi="Arial" w:cs="Arial"/>
          <w:sz w:val="17"/>
          <w:szCs w:val="17"/>
        </w:rPr>
        <w:t>A CONTRATANTE deverá atestar a execução do objeto contratado no documento fiscal correspondente.</w:t>
      </w:r>
    </w:p>
    <w:p w14:paraId="11B94BFC">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5.2.5 </w:t>
      </w:r>
      <w:r>
        <w:rPr>
          <w:rFonts w:hint="default" w:ascii="Arial" w:hAnsi="Arial" w:cs="Arial"/>
          <w:sz w:val="17"/>
          <w:szCs w:val="17"/>
        </w:rPr>
        <w:t>A CONTRATANTE deverá fiscalizar a execução da Ata, o que não fará cessar ou diminuir a responsabilidade da CONTRATADA pelo perfeito cumprimento das obrigações estipuladas, nem por quaisquer danos, inclusive quanto a terceiros, ou por irregularidades constatadas.</w:t>
      </w:r>
    </w:p>
    <w:p w14:paraId="764EBBDE">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5.2.6 </w:t>
      </w:r>
      <w:r>
        <w:rPr>
          <w:rFonts w:hint="default" w:ascii="Arial" w:hAnsi="Arial" w:cs="Arial"/>
          <w:sz w:val="17"/>
          <w:szCs w:val="17"/>
        </w:rPr>
        <w:t xml:space="preserve">A CONTRATANTE deverá efetuar o pagamento da Nota fiscal nos prazos acordados na Ata. </w:t>
      </w:r>
    </w:p>
    <w:p w14:paraId="64FD810F">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5.2.7 </w:t>
      </w: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24B9A188">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5.2.8 </w:t>
      </w:r>
      <w:r>
        <w:rPr>
          <w:rFonts w:hint="default" w:ascii="Arial" w:hAnsi="Arial" w:cs="Arial"/>
          <w:sz w:val="17"/>
          <w:szCs w:val="17"/>
        </w:rPr>
        <w:t>A CONTRATANTE não se obriga a realizar a aquisição do quantitativo total;</w:t>
      </w:r>
    </w:p>
    <w:p w14:paraId="3F5288E0">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5.2.9 </w:t>
      </w:r>
      <w:r>
        <w:rPr>
          <w:rFonts w:hint="default" w:ascii="Arial" w:hAnsi="Arial" w:cs="Arial"/>
          <w:sz w:val="17"/>
          <w:szCs w:val="17"/>
        </w:rPr>
        <w:t>A CONTRATANTE poderá rejeitar, no todo ou em parte, o objeto em desacordo com as especificações e condições deste Termo de Referência.</w:t>
      </w:r>
    </w:p>
    <w:p w14:paraId="4427F8A0">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5.2.10 </w:t>
      </w:r>
      <w:r>
        <w:rPr>
          <w:rFonts w:hint="default" w:ascii="Arial" w:hAnsi="Arial" w:cs="Arial"/>
          <w:sz w:val="17"/>
          <w:szCs w:val="17"/>
        </w:rPr>
        <w:t>A CONTRATANTE deverá sustar, no todo ou em parte, a execução dos serviços, sempre que a medida for considerada necessária.</w:t>
      </w:r>
    </w:p>
    <w:p w14:paraId="3FADD601">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5.2.11 </w:t>
      </w:r>
      <w:r>
        <w:rPr>
          <w:rFonts w:hint="default" w:ascii="Arial" w:hAnsi="Arial" w:cs="Arial"/>
          <w:sz w:val="17"/>
          <w:szCs w:val="17"/>
        </w:rPr>
        <w:t>A CONTRATANTE deverá decidir acerca das questões que se apresentarem durante a execução dos serviços.</w:t>
      </w:r>
    </w:p>
    <w:p w14:paraId="04E3AC33">
      <w:pPr>
        <w:pStyle w:val="279"/>
        <w:numPr>
          <w:ilvl w:val="0"/>
          <w:numId w:val="0"/>
        </w:numPr>
        <w:spacing w:before="0"/>
        <w:jc w:val="both"/>
        <w:rPr>
          <w:rFonts w:hint="default" w:ascii="Arial" w:hAnsi="Arial" w:eastAsia="Tahoma" w:cs="Arial"/>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w:t>
      </w:r>
      <w:r>
        <w:rPr>
          <w:rFonts w:hint="default" w:ascii="Arial" w:hAnsi="Arial" w:cs="Arial"/>
          <w:color w:val="000000" w:themeColor="text1"/>
          <w:sz w:val="17"/>
          <w:szCs w:val="17"/>
          <w14:textFill>
            <w14:solidFill>
              <w14:schemeClr w14:val="tx1"/>
            </w14:solidFill>
          </w14:textFill>
        </w:rPr>
        <w:t xml:space="preserve"> prevista e indicada </w:t>
      </w:r>
      <w:r>
        <w:rPr>
          <w:rFonts w:hint="default" w:ascii="Arial" w:hAnsi="Arial" w:cs="Arial"/>
          <w:color w:val="000000" w:themeColor="text1"/>
          <w:sz w:val="17"/>
          <w:szCs w:val="17"/>
          <w:lang w:val="pt-BR"/>
          <w14:textFill>
            <w14:solidFill>
              <w14:schemeClr w14:val="tx1"/>
            </w14:solidFill>
          </w14:textFill>
        </w:rPr>
        <w:t>na autorização de fornecimento, nota de empenho ou contrato futuro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56EB7557">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02.09 – Fundo Municipal de Saúde.</w:t>
      </w:r>
    </w:p>
    <w:p w14:paraId="0B72368B">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7"/>
          <w:szCs w:val="17"/>
        </w:rPr>
      </w:pPr>
      <w:r>
        <w:rPr>
          <w:rFonts w:hint="default" w:ascii="Arial" w:hAnsi="Arial" w:cs="Arial"/>
          <w:b w:val="0"/>
          <w:sz w:val="17"/>
          <w:szCs w:val="17"/>
        </w:rPr>
        <w:t>10.302.0013.2.106 – Gestão da Vigilância Epidemiológica</w:t>
      </w:r>
    </w:p>
    <w:p w14:paraId="3E2D53B8">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3.3.90.30.00.00.00.00 00.01.0600 - Material de Consumo (Ficha 767)</w:t>
      </w:r>
    </w:p>
    <w:p w14:paraId="5B4BD979">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3.3.90.39.00.00.00.00 00.01.0600 - Outros Serviços de Terceiros - Pessoa Jurídica (Ficha 773)</w:t>
      </w:r>
    </w:p>
    <w:p w14:paraId="4AD88C7B">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02.12 – Secretaria de Obras.</w:t>
      </w:r>
    </w:p>
    <w:p w14:paraId="2567DD80">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02.13 – Secretaria de Serviços Urbanos. </w:t>
      </w:r>
    </w:p>
    <w:p w14:paraId="5D1088EB">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b/>
          <w:bCs/>
          <w:sz w:val="17"/>
          <w:szCs w:val="17"/>
        </w:rPr>
      </w:pPr>
      <w:r>
        <w:rPr>
          <w:rFonts w:hint="default" w:ascii="Arial" w:hAnsi="Arial" w:cs="Arial"/>
          <w:sz w:val="17"/>
          <w:szCs w:val="17"/>
        </w:rPr>
        <w:t xml:space="preserve">02.15 – Secretaria de Agricultura e Meio Ambiente. </w:t>
      </w:r>
    </w:p>
    <w:p w14:paraId="3E8EA5F8">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de Cataguases por processo legal, </w:t>
      </w:r>
      <w:r>
        <w:rPr>
          <w:rFonts w:hint="default" w:ascii="Arial" w:hAnsi="Arial" w:cs="Arial"/>
          <w:b/>
          <w:sz w:val="17"/>
          <w:szCs w:val="17"/>
        </w:rPr>
        <w:t xml:space="preserve">no prazo de 30 (trinta) dias corridos </w:t>
      </w:r>
      <w:r>
        <w:rPr>
          <w:rFonts w:hint="default" w:ascii="Arial" w:hAnsi="Arial" w:cs="Arial"/>
          <w:sz w:val="17"/>
          <w:szCs w:val="17"/>
        </w:rPr>
        <w:t xml:space="preserve">após a apresentação da Nota Fiscal, mediante a </w:t>
      </w:r>
      <w:r>
        <w:rPr>
          <w:rFonts w:hint="default" w:ascii="Arial" w:hAnsi="Arial" w:cs="Arial"/>
          <w:b/>
          <w:sz w:val="17"/>
          <w:szCs w:val="17"/>
        </w:rPr>
        <w:t>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5"/>
          <w:rFonts w:hint="default" w:ascii="Arial" w:hAnsi="Arial" w:cs="Arial"/>
          <w:b w:val="0"/>
          <w:bCs w:val="0"/>
          <w:sz w:val="17"/>
          <w:szCs w:val="17"/>
          <w:u w:val="none"/>
        </w:rPr>
        <w:t xml:space="preserve">IN nº 3/2018, art. 7º, </w:t>
      </w:r>
      <w:r>
        <w:rPr>
          <w:rStyle w:val="325"/>
          <w:rFonts w:hint="default" w:ascii="Arial" w:hAnsi="Arial" w:cs="Arial"/>
          <w:b w:val="0"/>
          <w:bCs w:val="0"/>
          <w:i/>
          <w:iCs/>
          <w:sz w:val="17"/>
          <w:szCs w:val="17"/>
          <w:u w:val="none"/>
        </w:rPr>
        <w:t>caput</w:t>
      </w:r>
      <w:r>
        <w:rPr>
          <w:rStyle w:val="325"/>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3331C836">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6BC7A2E9">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269CF948">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2F7A871D">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6A26AB51">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06CC111E">
      <w:pPr>
        <w:pStyle w:val="317"/>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7"/>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5F8F3740">
      <w:pPr>
        <w:pStyle w:val="317"/>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1"/>
        <w:numPr>
          <w:ilvl w:val="0"/>
          <w:numId w:val="28"/>
        </w:numPr>
        <w:contextualSpacing w:val="0"/>
        <w:jc w:val="both"/>
        <w:rPr>
          <w:rFonts w:hint="default" w:ascii="Arial" w:hAnsi="Arial" w:cs="Arial" w:eastAsiaTheme="minorHAnsi"/>
          <w:vanish/>
          <w:sz w:val="17"/>
          <w:szCs w:val="17"/>
          <w:lang w:eastAsia="en-US"/>
        </w:rPr>
      </w:pPr>
    </w:p>
    <w:p w14:paraId="5DC94584">
      <w:pPr>
        <w:pStyle w:val="221"/>
        <w:numPr>
          <w:ilvl w:val="0"/>
          <w:numId w:val="28"/>
        </w:numPr>
        <w:contextualSpacing w:val="0"/>
        <w:jc w:val="both"/>
        <w:rPr>
          <w:rFonts w:hint="default" w:ascii="Arial" w:hAnsi="Arial" w:cs="Arial" w:eastAsiaTheme="minorHAnsi"/>
          <w:vanish/>
          <w:sz w:val="17"/>
          <w:szCs w:val="17"/>
          <w:lang w:eastAsia="en-US"/>
        </w:rPr>
      </w:pPr>
    </w:p>
    <w:p w14:paraId="5E51E695">
      <w:pPr>
        <w:pStyle w:val="221"/>
        <w:numPr>
          <w:ilvl w:val="0"/>
          <w:numId w:val="28"/>
        </w:numPr>
        <w:contextualSpacing w:val="0"/>
        <w:jc w:val="both"/>
        <w:rPr>
          <w:rFonts w:hint="default" w:ascii="Arial" w:hAnsi="Arial" w:cs="Arial" w:eastAsiaTheme="minorHAnsi"/>
          <w:vanish/>
          <w:sz w:val="17"/>
          <w:szCs w:val="17"/>
          <w:lang w:eastAsia="en-US"/>
        </w:rPr>
      </w:pPr>
    </w:p>
    <w:p w14:paraId="10AD27CC">
      <w:pPr>
        <w:pStyle w:val="221"/>
        <w:numPr>
          <w:ilvl w:val="0"/>
          <w:numId w:val="28"/>
        </w:numPr>
        <w:contextualSpacing w:val="0"/>
        <w:jc w:val="both"/>
        <w:rPr>
          <w:rFonts w:hint="default" w:ascii="Arial" w:hAnsi="Arial" w:cs="Arial" w:eastAsiaTheme="minorHAnsi"/>
          <w:vanish/>
          <w:sz w:val="17"/>
          <w:szCs w:val="17"/>
          <w:lang w:eastAsia="en-US"/>
        </w:rPr>
      </w:pPr>
    </w:p>
    <w:p w14:paraId="48D79844">
      <w:pPr>
        <w:pStyle w:val="221"/>
        <w:numPr>
          <w:ilvl w:val="0"/>
          <w:numId w:val="28"/>
        </w:numPr>
        <w:contextualSpacing w:val="0"/>
        <w:jc w:val="both"/>
        <w:rPr>
          <w:rFonts w:hint="default" w:ascii="Arial" w:hAnsi="Arial" w:cs="Arial" w:eastAsiaTheme="minorHAnsi"/>
          <w:vanish/>
          <w:sz w:val="17"/>
          <w:szCs w:val="17"/>
          <w:lang w:eastAsia="en-US"/>
        </w:rPr>
      </w:pPr>
    </w:p>
    <w:p w14:paraId="65A38D87">
      <w:pPr>
        <w:pStyle w:val="221"/>
        <w:numPr>
          <w:ilvl w:val="0"/>
          <w:numId w:val="28"/>
        </w:numPr>
        <w:contextualSpacing w:val="0"/>
        <w:jc w:val="both"/>
        <w:rPr>
          <w:rFonts w:hint="default" w:ascii="Arial" w:hAnsi="Arial" w:cs="Arial" w:eastAsiaTheme="minorHAnsi"/>
          <w:vanish/>
          <w:sz w:val="17"/>
          <w:szCs w:val="17"/>
          <w:lang w:eastAsia="en-US"/>
        </w:rPr>
      </w:pPr>
    </w:p>
    <w:p w14:paraId="3371370D">
      <w:pPr>
        <w:pStyle w:val="221"/>
        <w:numPr>
          <w:ilvl w:val="0"/>
          <w:numId w:val="28"/>
        </w:numPr>
        <w:contextualSpacing w:val="0"/>
        <w:jc w:val="both"/>
        <w:rPr>
          <w:rFonts w:hint="default" w:ascii="Arial" w:hAnsi="Arial" w:cs="Arial" w:eastAsiaTheme="minorHAnsi"/>
          <w:vanish/>
          <w:sz w:val="17"/>
          <w:szCs w:val="17"/>
          <w:lang w:eastAsia="en-US"/>
        </w:rPr>
      </w:pPr>
    </w:p>
    <w:p w14:paraId="7F38C0A5">
      <w:pPr>
        <w:pStyle w:val="221"/>
        <w:numPr>
          <w:ilvl w:val="0"/>
          <w:numId w:val="28"/>
        </w:numPr>
        <w:contextualSpacing w:val="0"/>
        <w:jc w:val="both"/>
        <w:rPr>
          <w:rFonts w:hint="default" w:ascii="Arial" w:hAnsi="Arial" w:cs="Arial" w:eastAsiaTheme="minorHAnsi"/>
          <w:vanish/>
          <w:sz w:val="17"/>
          <w:szCs w:val="17"/>
          <w:lang w:eastAsia="en-US"/>
        </w:rPr>
      </w:pPr>
    </w:p>
    <w:p w14:paraId="6AE263D5">
      <w:pPr>
        <w:pStyle w:val="221"/>
        <w:numPr>
          <w:ilvl w:val="1"/>
          <w:numId w:val="28"/>
        </w:numPr>
        <w:contextualSpacing w:val="0"/>
        <w:jc w:val="both"/>
        <w:rPr>
          <w:rFonts w:hint="default" w:ascii="Arial" w:hAnsi="Arial" w:cs="Arial" w:eastAsiaTheme="minorHAnsi"/>
          <w:vanish/>
          <w:sz w:val="17"/>
          <w:szCs w:val="17"/>
          <w:lang w:eastAsia="en-US"/>
        </w:rPr>
      </w:pPr>
    </w:p>
    <w:p w14:paraId="3A6CB81F">
      <w:pPr>
        <w:pStyle w:val="317"/>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19"/>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cs="Arial"/>
          <w:sz w:val="17"/>
          <w:szCs w:val="17"/>
          <w:lang w:val="pt-BR"/>
        </w:rPr>
        <w:t>9</w:t>
      </w:r>
      <w:r>
        <w:rPr>
          <w:rFonts w:hint="default" w:ascii="Arial" w:hAnsi="Arial" w:cs="Arial"/>
          <w:sz w:val="17"/>
          <w:szCs w:val="17"/>
        </w:rPr>
        <w:t>.1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3F9A902A">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B10B32A">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6EC95133">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79A7122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4ACEBD23">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7E940935">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5FC4456D">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b w:val="0"/>
          <w:bCs/>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 sendo: </w:t>
      </w:r>
    </w:p>
    <w:p w14:paraId="64F98A08">
      <w:pPr>
        <w:pStyle w:val="307"/>
        <w:pageBreakBefore w:val="0"/>
        <w:widowControl/>
        <w:numPr>
          <w:ilvl w:val="0"/>
          <w:numId w:val="21"/>
        </w:numPr>
        <w:kinsoku/>
        <w:wordWrap/>
        <w:overflowPunct/>
        <w:topLinePunct w:val="0"/>
        <w:bidi w:val="0"/>
        <w:snapToGrid/>
        <w:spacing w:before="0" w:after="0"/>
        <w:ind w:left="0" w:leftChars="0" w:right="0" w:firstLine="0" w:firstLineChars="0"/>
        <w:textAlignment w:val="auto"/>
        <w:rPr>
          <w:rFonts w:hint="default" w:ascii="Arial" w:hAnsi="Arial" w:cs="Arial"/>
          <w:b w:val="0"/>
          <w:bCs/>
          <w:sz w:val="17"/>
          <w:szCs w:val="17"/>
        </w:rPr>
      </w:pPr>
      <w:r>
        <w:rPr>
          <w:rFonts w:hint="default" w:ascii="Arial" w:hAnsi="Arial" w:cs="Arial"/>
          <w:b w:val="0"/>
          <w:bCs/>
          <w:sz w:val="17"/>
          <w:szCs w:val="17"/>
        </w:rPr>
        <w:t>Roberto Carlos Carrara Theodoro.</w:t>
      </w:r>
    </w:p>
    <w:p w14:paraId="7E696B2E">
      <w:pPr>
        <w:pStyle w:val="307"/>
        <w:pageBreakBefore w:val="0"/>
        <w:widowControl/>
        <w:numPr>
          <w:ilvl w:val="0"/>
          <w:numId w:val="21"/>
        </w:numPr>
        <w:kinsoku/>
        <w:wordWrap/>
        <w:overflowPunct/>
        <w:topLinePunct w:val="0"/>
        <w:bidi w:val="0"/>
        <w:snapToGrid/>
        <w:spacing w:before="0" w:after="0"/>
        <w:ind w:left="0" w:leftChars="0" w:right="0" w:firstLine="0" w:firstLineChars="0"/>
        <w:textAlignment w:val="auto"/>
        <w:rPr>
          <w:rFonts w:hint="default" w:ascii="Arial" w:hAnsi="Arial" w:cs="Arial"/>
          <w:b w:val="0"/>
          <w:bCs/>
          <w:sz w:val="17"/>
          <w:szCs w:val="17"/>
        </w:rPr>
      </w:pPr>
      <w:r>
        <w:rPr>
          <w:rFonts w:hint="default" w:ascii="Arial" w:hAnsi="Arial" w:cs="Arial"/>
          <w:b w:val="0"/>
          <w:bCs/>
          <w:sz w:val="17"/>
          <w:szCs w:val="17"/>
        </w:rPr>
        <w:t>José Maria Magalhães Sasso.</w:t>
      </w:r>
    </w:p>
    <w:p w14:paraId="4246888A">
      <w:pPr>
        <w:pStyle w:val="307"/>
        <w:pageBreakBefore w:val="0"/>
        <w:widowControl/>
        <w:numPr>
          <w:ilvl w:val="0"/>
          <w:numId w:val="21"/>
        </w:numPr>
        <w:kinsoku/>
        <w:wordWrap/>
        <w:overflowPunct/>
        <w:topLinePunct w:val="0"/>
        <w:bidi w:val="0"/>
        <w:snapToGrid/>
        <w:spacing w:before="0" w:after="0"/>
        <w:ind w:left="0" w:leftChars="0" w:right="0" w:firstLine="0" w:firstLineChars="0"/>
        <w:textAlignment w:val="auto"/>
        <w:rPr>
          <w:rFonts w:hint="default" w:ascii="Arial" w:hAnsi="Arial" w:cs="Arial"/>
          <w:b w:val="0"/>
          <w:bCs/>
          <w:sz w:val="17"/>
          <w:szCs w:val="17"/>
        </w:rPr>
      </w:pPr>
      <w:r>
        <w:rPr>
          <w:rFonts w:hint="default" w:ascii="Arial" w:hAnsi="Arial" w:cs="Arial"/>
          <w:b w:val="0"/>
          <w:bCs/>
          <w:sz w:val="17"/>
          <w:szCs w:val="17"/>
        </w:rPr>
        <w:t>João Paulo Santana.</w:t>
      </w:r>
    </w:p>
    <w:p w14:paraId="24713B4B">
      <w:pPr>
        <w:pStyle w:val="307"/>
        <w:pageBreakBefore w:val="0"/>
        <w:widowControl/>
        <w:numPr>
          <w:ilvl w:val="0"/>
          <w:numId w:val="21"/>
        </w:numPr>
        <w:kinsoku/>
        <w:wordWrap/>
        <w:overflowPunct/>
        <w:topLinePunct w:val="0"/>
        <w:bidi w:val="0"/>
        <w:snapToGrid/>
        <w:spacing w:before="0" w:after="0"/>
        <w:ind w:left="0" w:leftChars="0" w:right="0" w:firstLine="0" w:firstLineChars="0"/>
        <w:textAlignment w:val="auto"/>
        <w:rPr>
          <w:rFonts w:hint="default" w:ascii="Arial" w:hAnsi="Arial" w:cs="Arial" w:eastAsiaTheme="minorHAnsi"/>
          <w:b w:val="0"/>
          <w:bCs/>
          <w:sz w:val="17"/>
          <w:szCs w:val="17"/>
          <w:lang w:val="pt-BR" w:eastAsia="en-US"/>
        </w:rPr>
      </w:pPr>
      <w:r>
        <w:rPr>
          <w:rFonts w:hint="default" w:ascii="Arial" w:hAnsi="Arial" w:cs="Arial"/>
          <w:b w:val="0"/>
          <w:bCs/>
          <w:sz w:val="17"/>
          <w:szCs w:val="17"/>
        </w:rPr>
        <w:t>Tiago Viana Gonçalves dos Santos.</w:t>
      </w:r>
    </w:p>
    <w:p w14:paraId="545CB7E3">
      <w:pPr>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b w:val="0"/>
          <w:bCs/>
          <w:sz w:val="17"/>
          <w:szCs w:val="17"/>
          <w:lang w:val="pt-BR"/>
        </w:rPr>
        <w:t>15.4</w:t>
      </w:r>
      <w:r>
        <w:rPr>
          <w:rFonts w:hint="default" w:ascii="Arial" w:hAnsi="Arial" w:cs="Arial"/>
          <w:sz w:val="17"/>
          <w:szCs w:val="17"/>
          <w:lang w:val="pt-BR"/>
        </w:rPr>
        <w:t xml:space="preserve">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hint="default" w:ascii="Arial" w:hAnsi="Arial" w:cs="Arial"/>
          <w:b/>
          <w:bCs/>
          <w:sz w:val="17"/>
          <w:szCs w:val="17"/>
        </w:rPr>
      </w:pPr>
    </w:p>
    <w:p w14:paraId="4F8853D2">
      <w:pPr>
        <w:jc w:val="both"/>
        <w:rPr>
          <w:rFonts w:hint="default" w:ascii="Arial" w:hAnsi="Arial" w:cs="Arial"/>
          <w:b/>
          <w:bCs/>
          <w:sz w:val="17"/>
          <w:szCs w:val="17"/>
        </w:rPr>
      </w:pPr>
    </w:p>
    <w:p w14:paraId="6EA80A98">
      <w:pPr>
        <w:jc w:val="both"/>
        <w:rPr>
          <w:rFonts w:hint="default" w:ascii="Arial" w:hAnsi="Arial" w:cs="Arial"/>
          <w:b/>
          <w:bCs/>
          <w:sz w:val="17"/>
          <w:szCs w:val="17"/>
        </w:rPr>
      </w:pPr>
    </w:p>
    <w:p w14:paraId="2521E226">
      <w:pPr>
        <w:jc w:val="both"/>
        <w:rPr>
          <w:rFonts w:hint="default" w:ascii="Arial" w:hAnsi="Arial" w:cs="Arial"/>
          <w:b/>
          <w:bCs/>
          <w:sz w:val="17"/>
          <w:szCs w:val="17"/>
        </w:rPr>
      </w:pPr>
    </w:p>
    <w:p w14:paraId="79D4AE96">
      <w:pPr>
        <w:jc w:val="both"/>
        <w:rPr>
          <w:rFonts w:hint="default" w:ascii="Arial" w:hAnsi="Arial" w:cs="Arial"/>
          <w:b/>
          <w:bCs/>
          <w:sz w:val="17"/>
          <w:szCs w:val="17"/>
        </w:rPr>
      </w:pPr>
    </w:p>
    <w:p w14:paraId="5C08471B">
      <w:pPr>
        <w:jc w:val="both"/>
        <w:rPr>
          <w:rFonts w:ascii="Arial" w:hAnsi="Arial" w:cs="Arial"/>
          <w:b/>
          <w:bCs/>
          <w:sz w:val="26"/>
          <w:szCs w:val="26"/>
        </w:rPr>
      </w:pPr>
    </w:p>
    <w:p w14:paraId="57F66A14">
      <w:pPr>
        <w:jc w:val="both"/>
        <w:rPr>
          <w:rFonts w:ascii="Arial" w:hAnsi="Arial" w:cs="Arial"/>
          <w:b/>
          <w:bCs/>
          <w:sz w:val="26"/>
          <w:szCs w:val="26"/>
        </w:rPr>
      </w:pPr>
    </w:p>
    <w:p w14:paraId="14D1E93A">
      <w:pPr>
        <w:jc w:val="both"/>
        <w:rPr>
          <w:rFonts w:ascii="Arial" w:hAnsi="Arial" w:cs="Arial"/>
          <w:b/>
          <w:bCs/>
          <w:sz w:val="26"/>
          <w:szCs w:val="26"/>
        </w:rPr>
      </w:pPr>
    </w:p>
    <w:p w14:paraId="631A70C6">
      <w:pPr>
        <w:jc w:val="both"/>
        <w:rPr>
          <w:rFonts w:ascii="Arial" w:hAnsi="Arial" w:cs="Arial"/>
          <w:b/>
          <w:bCs/>
          <w:sz w:val="26"/>
          <w:szCs w:val="26"/>
        </w:rPr>
      </w:pPr>
    </w:p>
    <w:p w14:paraId="3C90A482">
      <w:pPr>
        <w:jc w:val="both"/>
        <w:rPr>
          <w:rFonts w:ascii="Arial" w:hAnsi="Arial" w:cs="Arial"/>
          <w:b/>
          <w:bCs/>
          <w:sz w:val="26"/>
          <w:szCs w:val="26"/>
        </w:rPr>
      </w:pPr>
    </w:p>
    <w:p w14:paraId="40ED92B6">
      <w:pPr>
        <w:jc w:val="both"/>
        <w:rPr>
          <w:rFonts w:ascii="Arial" w:hAnsi="Arial" w:cs="Arial"/>
          <w:b/>
          <w:bCs/>
          <w:sz w:val="26"/>
          <w:szCs w:val="26"/>
        </w:rPr>
      </w:pPr>
    </w:p>
    <w:p w14:paraId="43000B85">
      <w:pPr>
        <w:jc w:val="both"/>
        <w:rPr>
          <w:rFonts w:ascii="Arial" w:hAnsi="Arial" w:cs="Arial"/>
          <w:b/>
          <w:bCs/>
          <w:sz w:val="26"/>
          <w:szCs w:val="26"/>
        </w:rPr>
      </w:pPr>
    </w:p>
    <w:p w14:paraId="3899FFC1">
      <w:pPr>
        <w:jc w:val="both"/>
        <w:rPr>
          <w:rFonts w:ascii="Arial" w:hAnsi="Arial" w:cs="Arial"/>
          <w:b/>
          <w:bCs/>
          <w:sz w:val="26"/>
          <w:szCs w:val="26"/>
        </w:rPr>
      </w:pPr>
    </w:p>
    <w:p w14:paraId="3B0B04F8">
      <w:pPr>
        <w:jc w:val="both"/>
        <w:rPr>
          <w:rFonts w:ascii="Arial" w:hAnsi="Arial" w:cs="Arial"/>
          <w:b/>
          <w:bCs/>
          <w:sz w:val="26"/>
          <w:szCs w:val="26"/>
        </w:rPr>
      </w:pPr>
    </w:p>
    <w:p w14:paraId="22784C60">
      <w:pPr>
        <w:jc w:val="both"/>
        <w:rPr>
          <w:rFonts w:ascii="Arial" w:hAnsi="Arial" w:cs="Arial"/>
          <w:b/>
          <w:bCs/>
          <w:sz w:val="26"/>
          <w:szCs w:val="26"/>
        </w:rPr>
      </w:pPr>
    </w:p>
    <w:p w14:paraId="4F45E6C4">
      <w:pPr>
        <w:jc w:val="both"/>
        <w:rPr>
          <w:rFonts w:ascii="Arial" w:hAnsi="Arial" w:cs="Arial"/>
          <w:b/>
          <w:bCs/>
          <w:sz w:val="26"/>
          <w:szCs w:val="26"/>
        </w:rPr>
      </w:pPr>
    </w:p>
    <w:p w14:paraId="3FA061E9">
      <w:pPr>
        <w:jc w:val="both"/>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163/2024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091/2024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068/2024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E4081C">
      <w:pPr>
        <w:autoSpaceDE w:val="0"/>
        <w:spacing w:line="200" w:lineRule="atLeast"/>
        <w:jc w:val="both"/>
        <w:rPr>
          <w:rFonts w:hint="default"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r>
        <w:rPr>
          <w:rFonts w:hint="default" w:ascii="Arial" w:hAnsi="Arial" w:cs="Arial"/>
          <w:sz w:val="20"/>
          <w:szCs w:val="20"/>
          <w:lang w:eastAsia="ar-SA"/>
        </w:rPr>
        <w:t xml:space="preserve">                                    </w:t>
      </w:r>
    </w:p>
    <w:p w14:paraId="572DFAE4">
      <w:pPr>
        <w:pStyle w:val="15"/>
        <w:spacing w:before="139"/>
        <w:ind w:right="0" w:rightChars="0"/>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163/2024</w:t>
      </w:r>
      <w:r>
        <w:rPr>
          <w:rFonts w:hint="default" w:ascii="Arial" w:hAnsi="Arial" w:cs="Arial"/>
          <w:sz w:val="20"/>
          <w:szCs w:val="20"/>
        </w:rPr>
        <w:t xml:space="preserve">, </w:t>
      </w:r>
      <w:r>
        <w:rPr>
          <w:rFonts w:hint="default" w:ascii="Arial" w:hAnsi="Arial" w:cs="Arial"/>
          <w:sz w:val="20"/>
          <w:szCs w:val="20"/>
          <w:lang w:val="pt-BR"/>
        </w:rPr>
        <w:t xml:space="preserve">Pregão Eletrônico </w:t>
      </w:r>
      <w:r>
        <w:rPr>
          <w:rFonts w:hint="default" w:ascii="Arial" w:hAnsi="Arial" w:cs="Arial"/>
          <w:sz w:val="20"/>
          <w:szCs w:val="20"/>
        </w:rPr>
        <w:t xml:space="preserve">n° </w:t>
      </w:r>
      <w:r>
        <w:rPr>
          <w:rFonts w:hint="default" w:ascii="Arial" w:hAnsi="Arial" w:cs="Arial"/>
          <w:sz w:val="20"/>
          <w:szCs w:val="20"/>
          <w:lang w:val="pt-BR"/>
        </w:rPr>
        <w:t xml:space="preserve">091/2024, Registro de Preços n° 068/2024 </w:t>
      </w:r>
      <w:r>
        <w:rPr>
          <w:rFonts w:hint="default" w:ascii="Arial" w:hAnsi="Arial" w:cs="Arial"/>
          <w:sz w:val="20"/>
          <w:szCs w:val="20"/>
        </w:rPr>
        <w:t>que:</w:t>
      </w:r>
    </w:p>
    <w:p w14:paraId="6D7B5125">
      <w:pPr>
        <w:pStyle w:val="221"/>
        <w:numPr>
          <w:ilvl w:val="0"/>
          <w:numId w:val="30"/>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19A4DA2A">
      <w:pPr>
        <w:pStyle w:val="221"/>
        <w:numPr>
          <w:ilvl w:val="0"/>
          <w:numId w:val="30"/>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696165C">
      <w:pPr>
        <w:pStyle w:val="221"/>
        <w:numPr>
          <w:ilvl w:val="0"/>
          <w:numId w:val="30"/>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000E7F0D">
      <w:pPr>
        <w:pStyle w:val="329"/>
        <w:spacing w:before="0" w:after="0"/>
        <w:jc w:val="center"/>
        <w:rPr>
          <w:rFonts w:hint="default" w:ascii="Arial" w:hAnsi="Arial" w:cs="Arial"/>
          <w:sz w:val="20"/>
          <w:szCs w:val="20"/>
        </w:rPr>
      </w:pPr>
    </w:p>
    <w:p w14:paraId="369FE654">
      <w:pPr>
        <w:pStyle w:val="329"/>
        <w:spacing w:before="0" w:after="0"/>
        <w:jc w:val="center"/>
        <w:rPr>
          <w:rFonts w:hint="default" w:ascii="Arial" w:hAnsi="Arial" w:cs="Arial"/>
          <w:sz w:val="20"/>
          <w:szCs w:val="20"/>
        </w:rPr>
      </w:pPr>
    </w:p>
    <w:p w14:paraId="39E461E5">
      <w:pPr>
        <w:autoSpaceDE w:val="0"/>
        <w:spacing w:line="200" w:lineRule="atLeast"/>
        <w:rPr>
          <w:rFonts w:hint="default" w:ascii="Arial" w:hAnsi="Arial" w:cs="Arial"/>
          <w:i/>
          <w:iCs/>
          <w:sz w:val="20"/>
          <w:szCs w:val="20"/>
          <w:lang w:eastAsia="ar-SA"/>
        </w:rPr>
      </w:pPr>
    </w:p>
    <w:p w14:paraId="75CC5B8F">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1B994CA4">
      <w:pPr>
        <w:pStyle w:val="329"/>
        <w:spacing w:before="0" w:after="0"/>
        <w:jc w:val="center"/>
        <w:rPr>
          <w:rFonts w:hint="default" w:ascii="Arial" w:hAnsi="Arial" w:cs="Arial"/>
          <w:sz w:val="20"/>
          <w:szCs w:val="20"/>
        </w:rPr>
      </w:pPr>
    </w:p>
    <w:p w14:paraId="2BA1D215">
      <w:pPr>
        <w:pStyle w:val="329"/>
        <w:spacing w:before="0" w:after="0"/>
        <w:jc w:val="center"/>
        <w:rPr>
          <w:rFonts w:hint="default" w:ascii="Arial" w:hAnsi="Arial" w:cs="Arial"/>
          <w:sz w:val="20"/>
          <w:szCs w:val="20"/>
        </w:rPr>
      </w:pPr>
    </w:p>
    <w:p w14:paraId="3A9B5ADC">
      <w:pPr>
        <w:pStyle w:val="329"/>
        <w:spacing w:before="0" w:after="0"/>
        <w:jc w:val="both"/>
        <w:rPr>
          <w:rFonts w:hint="default" w:ascii="Arial" w:hAnsi="Arial" w:cs="Arial"/>
          <w:sz w:val="20"/>
          <w:szCs w:val="20"/>
        </w:rPr>
      </w:pPr>
    </w:p>
    <w:p w14:paraId="0CC2CF4A">
      <w:pPr>
        <w:pStyle w:val="329"/>
        <w:spacing w:before="0" w:after="0"/>
        <w:jc w:val="center"/>
        <w:rPr>
          <w:rFonts w:hint="default" w:ascii="Arial" w:hAnsi="Arial" w:cs="Arial"/>
          <w:sz w:val="20"/>
          <w:szCs w:val="20"/>
        </w:rPr>
      </w:pPr>
    </w:p>
    <w:p w14:paraId="06C5D513">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56DF4D1">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74555F2">
      <w:pPr>
        <w:pStyle w:val="329"/>
        <w:spacing w:before="0" w:after="0"/>
        <w:jc w:val="both"/>
        <w:rPr>
          <w:rFonts w:ascii="Arial" w:hAnsi="Arial" w:cs="Arial"/>
          <w:sz w:val="20"/>
          <w:szCs w:val="20"/>
          <w:lang w:eastAsia="ar-SA"/>
        </w:rPr>
      </w:pPr>
    </w:p>
    <w:p w14:paraId="50C28ED8">
      <w:pPr>
        <w:pStyle w:val="329"/>
        <w:spacing w:before="0" w:after="0"/>
        <w:jc w:val="both"/>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2D51E5DA">
      <w:pPr>
        <w:jc w:val="both"/>
        <w:rPr>
          <w:rFonts w:ascii="Arial" w:hAnsi="Arial" w:cs="Arial"/>
          <w:b/>
          <w:bCs/>
          <w:sz w:val="20"/>
          <w:szCs w:val="20"/>
        </w:rPr>
      </w:pPr>
    </w:p>
    <w:p w14:paraId="67283EE7">
      <w:pPr>
        <w:jc w:val="both"/>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163/2024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091/2024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068/2024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D032A2E">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163/2024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091/2024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068/2024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0BF1492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163/2024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091/2024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068/2024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163/2024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091/2024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068/2024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14A5BE79">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163/2024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091/2024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068/2024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163/2024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091/2024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068/2024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hint="default" w:ascii="Arial" w:hAnsi="Arial" w:cs="Arial"/>
          <w:b/>
          <w:bCs/>
          <w:sz w:val="26"/>
          <w:szCs w:val="26"/>
          <w:lang w:val="pt-BR"/>
        </w:rPr>
        <w:t>A</w:t>
      </w:r>
      <w:r>
        <w:rPr>
          <w:rFonts w:ascii="Arial" w:hAnsi="Arial" w:cs="Arial"/>
          <w:b/>
          <w:bCs/>
          <w:sz w:val="26"/>
          <w:szCs w:val="26"/>
        </w:rPr>
        <w:t>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163/2024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091/2024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068/2024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CBA0F1D">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455F9E9">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091/2024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1096E"/>
    <w:multiLevelType w:val="singleLevel"/>
    <w:tmpl w:val="A681096E"/>
    <w:lvl w:ilvl="0" w:tentative="0">
      <w:start w:val="6"/>
      <w:numFmt w:val="decimal"/>
      <w:suff w:val="space"/>
      <w:lvlText w:val="%1."/>
      <w:lvlJc w:val="left"/>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1D5C100D"/>
    <w:multiLevelType w:val="multilevel"/>
    <w:tmpl w:val="1D5C100D"/>
    <w:lvl w:ilvl="0" w:tentative="0">
      <w:start w:val="1"/>
      <w:numFmt w:val="decimal"/>
      <w:lvlText w:val="%1."/>
      <w:lvlJc w:val="left"/>
      <w:pPr>
        <w:ind w:left="360" w:hanging="360"/>
      </w:pPr>
      <w:rPr>
        <w:rFonts w:hint="default" w:ascii="Arial" w:hAnsi="Arial" w:eastAsia="Arial" w:cs="Arial"/>
        <w:b/>
        <w:sz w:val="19"/>
        <w:szCs w:val="19"/>
      </w:rPr>
    </w:lvl>
    <w:lvl w:ilvl="1" w:tentative="0">
      <w:start w:val="1"/>
      <w:numFmt w:val="decimal"/>
      <w:lvlText w:val="%1.%2."/>
      <w:lvlJc w:val="left"/>
      <w:pPr>
        <w:ind w:left="432" w:hanging="432"/>
      </w:pPr>
      <w:rPr>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sz w:val="17"/>
        <w:szCs w:val="17"/>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ascii="Arial" w:hAnsi="Arial" w:cs="Arial"/>
        <w:i w:val="0"/>
        <w:sz w:val="18"/>
        <w:szCs w:val="18"/>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421523D"/>
    <w:multiLevelType w:val="singleLevel"/>
    <w:tmpl w:val="6421523D"/>
    <w:lvl w:ilvl="0" w:tentative="0">
      <w:start w:val="18"/>
      <w:numFmt w:val="decimal"/>
      <w:suff w:val="space"/>
      <w:lvlText w:val="%1."/>
      <w:lvlJc w:val="left"/>
    </w:lvl>
  </w:abstractNum>
  <w:abstractNum w:abstractNumId="21">
    <w:nsid w:val="69AF6BF8"/>
    <w:multiLevelType w:val="singleLevel"/>
    <w:tmpl w:val="69AF6BF8"/>
    <w:lvl w:ilvl="0" w:tentative="0">
      <w:start w:val="1"/>
      <w:numFmt w:val="decimal"/>
      <w:lvlText w:val="2.%1."/>
      <w:lvlJc w:val="left"/>
      <w:pPr>
        <w:tabs>
          <w:tab w:val="left" w:pos="425"/>
        </w:tabs>
        <w:ind w:left="425" w:leftChars="0" w:hanging="425" w:firstLineChars="0"/>
      </w:pPr>
      <w:rPr>
        <w:rFonts w:hint="default" w:ascii="Arial" w:hAnsi="Arial" w:cs="Arial"/>
        <w:b w:val="0"/>
        <w:bCs w:val="0"/>
        <w:sz w:val="17"/>
        <w:szCs w:val="17"/>
      </w:rPr>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69DB060"/>
    <w:multiLevelType w:val="singleLevel"/>
    <w:tmpl w:val="769DB060"/>
    <w:lvl w:ilvl="0" w:tentative="0">
      <w:start w:val="3"/>
      <w:numFmt w:val="decimal"/>
      <w:suff w:val="space"/>
      <w:lvlText w:val="%1."/>
      <w:lvlJc w:val="left"/>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13"/>
  </w:num>
  <w:num w:numId="3">
    <w:abstractNumId w:val="24"/>
  </w:num>
  <w:num w:numId="4">
    <w:abstractNumId w:val="8"/>
  </w:num>
  <w:num w:numId="5">
    <w:abstractNumId w:val="26"/>
  </w:num>
  <w:num w:numId="6">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9"/>
  </w:num>
  <w:num w:numId="11">
    <w:abstractNumId w:val="27"/>
  </w:num>
  <w:num w:numId="12">
    <w:abstractNumId w:val="25"/>
  </w:num>
  <w:num w:numId="13">
    <w:abstractNumId w:val="15"/>
  </w:num>
  <w:num w:numId="14">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4"/>
  </w:num>
  <w:num w:numId="17">
    <w:abstractNumId w:val="20"/>
  </w:num>
  <w:num w:numId="18">
    <w:abstractNumId w:val="12"/>
  </w:num>
  <w:num w:numId="19">
    <w:abstractNumId w:val="9"/>
  </w:num>
  <w:num w:numId="20">
    <w:abstractNumId w:val="0"/>
  </w:num>
  <w:num w:numId="21">
    <w:abstractNumId w:val="7"/>
  </w:num>
  <w:num w:numId="22">
    <w:abstractNumId w:val="9"/>
    <w:lvlOverride w:ilvl="0">
      <w:startOverride w:val="14"/>
    </w:lvlOverride>
  </w:num>
  <w:num w:numId="23">
    <w:abstractNumId w:val="5"/>
  </w:num>
  <w:num w:numId="24">
    <w:abstractNumId w:val="21"/>
  </w:num>
  <w:num w:numId="25">
    <w:abstractNumId w:val="16"/>
  </w:num>
  <w:num w:numId="26">
    <w:abstractNumId w:val="11"/>
  </w:num>
  <w:num w:numId="27">
    <w:abstractNumId w:val="6"/>
  </w:num>
  <w:num w:numId="28">
    <w:abstractNumId w:val="10"/>
  </w:num>
  <w:num w:numId="29">
    <w:abstractNumId w:val="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376E0A"/>
    <w:rsid w:val="017659F6"/>
    <w:rsid w:val="035930BB"/>
    <w:rsid w:val="03B271D9"/>
    <w:rsid w:val="05315411"/>
    <w:rsid w:val="05B22507"/>
    <w:rsid w:val="05C36005"/>
    <w:rsid w:val="05D766F0"/>
    <w:rsid w:val="06626E08"/>
    <w:rsid w:val="06A40338"/>
    <w:rsid w:val="071661B3"/>
    <w:rsid w:val="071B07B5"/>
    <w:rsid w:val="071B739D"/>
    <w:rsid w:val="083060FE"/>
    <w:rsid w:val="0A1A36A0"/>
    <w:rsid w:val="0AC61217"/>
    <w:rsid w:val="0ACE4448"/>
    <w:rsid w:val="0B2E0FAF"/>
    <w:rsid w:val="0BAF38F7"/>
    <w:rsid w:val="0C28597F"/>
    <w:rsid w:val="0C6254CE"/>
    <w:rsid w:val="0C9B62D5"/>
    <w:rsid w:val="0CFA6157"/>
    <w:rsid w:val="0D084D71"/>
    <w:rsid w:val="0D0A6A9C"/>
    <w:rsid w:val="0E347678"/>
    <w:rsid w:val="0EC01DBF"/>
    <w:rsid w:val="0F085E08"/>
    <w:rsid w:val="108D148E"/>
    <w:rsid w:val="10B63FE7"/>
    <w:rsid w:val="11C747A2"/>
    <w:rsid w:val="123371E8"/>
    <w:rsid w:val="134A4E0F"/>
    <w:rsid w:val="16233B71"/>
    <w:rsid w:val="16240579"/>
    <w:rsid w:val="16BC1BDB"/>
    <w:rsid w:val="1853612C"/>
    <w:rsid w:val="19454582"/>
    <w:rsid w:val="19583C7B"/>
    <w:rsid w:val="1BB15E7B"/>
    <w:rsid w:val="1C74326B"/>
    <w:rsid w:val="1DAA464F"/>
    <w:rsid w:val="1E1B0DF1"/>
    <w:rsid w:val="1FAE0C8A"/>
    <w:rsid w:val="209C70ED"/>
    <w:rsid w:val="20AF4B58"/>
    <w:rsid w:val="21523992"/>
    <w:rsid w:val="2181088C"/>
    <w:rsid w:val="22705149"/>
    <w:rsid w:val="22B343FA"/>
    <w:rsid w:val="22DF6543"/>
    <w:rsid w:val="243F4EA1"/>
    <w:rsid w:val="24B0470C"/>
    <w:rsid w:val="24F84421"/>
    <w:rsid w:val="25FD47AF"/>
    <w:rsid w:val="26467D5D"/>
    <w:rsid w:val="26A522E5"/>
    <w:rsid w:val="26AB2EEF"/>
    <w:rsid w:val="26C92330"/>
    <w:rsid w:val="2893739E"/>
    <w:rsid w:val="289D2943"/>
    <w:rsid w:val="28F35E71"/>
    <w:rsid w:val="29A90543"/>
    <w:rsid w:val="29BB2501"/>
    <w:rsid w:val="29F03C89"/>
    <w:rsid w:val="2BA5188B"/>
    <w:rsid w:val="2CF134CA"/>
    <w:rsid w:val="2E3859E0"/>
    <w:rsid w:val="2E514506"/>
    <w:rsid w:val="2E611FB6"/>
    <w:rsid w:val="2E7471D0"/>
    <w:rsid w:val="2E9E5CBA"/>
    <w:rsid w:val="2F462A0C"/>
    <w:rsid w:val="2FC254E7"/>
    <w:rsid w:val="305502D9"/>
    <w:rsid w:val="30704386"/>
    <w:rsid w:val="31151E44"/>
    <w:rsid w:val="3146053A"/>
    <w:rsid w:val="31E13090"/>
    <w:rsid w:val="339211DF"/>
    <w:rsid w:val="3572793B"/>
    <w:rsid w:val="35BA13B5"/>
    <w:rsid w:val="35BE6D72"/>
    <w:rsid w:val="35E34777"/>
    <w:rsid w:val="36153AC8"/>
    <w:rsid w:val="36D17D70"/>
    <w:rsid w:val="36E91DC4"/>
    <w:rsid w:val="37B07013"/>
    <w:rsid w:val="39C34753"/>
    <w:rsid w:val="39ED5597"/>
    <w:rsid w:val="39FE0F51"/>
    <w:rsid w:val="3A335D0B"/>
    <w:rsid w:val="3A782F7C"/>
    <w:rsid w:val="3A8D7822"/>
    <w:rsid w:val="3AE54320"/>
    <w:rsid w:val="3B36765E"/>
    <w:rsid w:val="3BA60981"/>
    <w:rsid w:val="3BBA2084"/>
    <w:rsid w:val="3FD7053F"/>
    <w:rsid w:val="417501F3"/>
    <w:rsid w:val="41AD1B63"/>
    <w:rsid w:val="420E1D6F"/>
    <w:rsid w:val="4213205F"/>
    <w:rsid w:val="425424E3"/>
    <w:rsid w:val="42856917"/>
    <w:rsid w:val="42FB4AF3"/>
    <w:rsid w:val="431B5DEF"/>
    <w:rsid w:val="43C87141"/>
    <w:rsid w:val="43CF3F4E"/>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166EC4"/>
    <w:rsid w:val="4CBC3DA7"/>
    <w:rsid w:val="4D4730BA"/>
    <w:rsid w:val="4D886C5B"/>
    <w:rsid w:val="4D927F12"/>
    <w:rsid w:val="4D9B2B7B"/>
    <w:rsid w:val="4E4A729A"/>
    <w:rsid w:val="4FAD4AE6"/>
    <w:rsid w:val="4FDA3AB0"/>
    <w:rsid w:val="505E3468"/>
    <w:rsid w:val="50B5468B"/>
    <w:rsid w:val="51453A91"/>
    <w:rsid w:val="515C7B07"/>
    <w:rsid w:val="51C874F1"/>
    <w:rsid w:val="51CF3978"/>
    <w:rsid w:val="51D356B8"/>
    <w:rsid w:val="52465311"/>
    <w:rsid w:val="528511B2"/>
    <w:rsid w:val="52CF109F"/>
    <w:rsid w:val="532E1087"/>
    <w:rsid w:val="54C274A3"/>
    <w:rsid w:val="55700B2B"/>
    <w:rsid w:val="55B9292F"/>
    <w:rsid w:val="571A7074"/>
    <w:rsid w:val="57877298"/>
    <w:rsid w:val="57CC4919"/>
    <w:rsid w:val="58614E3B"/>
    <w:rsid w:val="59163CA5"/>
    <w:rsid w:val="59194FF3"/>
    <w:rsid w:val="5943498D"/>
    <w:rsid w:val="594C2058"/>
    <w:rsid w:val="5B0972E9"/>
    <w:rsid w:val="5BC449ED"/>
    <w:rsid w:val="5D230C5E"/>
    <w:rsid w:val="5D7C74C4"/>
    <w:rsid w:val="5DBB20D6"/>
    <w:rsid w:val="5DF247AE"/>
    <w:rsid w:val="5F6D1DB8"/>
    <w:rsid w:val="6212532B"/>
    <w:rsid w:val="63523981"/>
    <w:rsid w:val="63F5795B"/>
    <w:rsid w:val="648D429C"/>
    <w:rsid w:val="67E30105"/>
    <w:rsid w:val="685F2D49"/>
    <w:rsid w:val="68901E54"/>
    <w:rsid w:val="694158BA"/>
    <w:rsid w:val="69B47C24"/>
    <w:rsid w:val="69D22C2B"/>
    <w:rsid w:val="69D956AD"/>
    <w:rsid w:val="6A902988"/>
    <w:rsid w:val="6AB61517"/>
    <w:rsid w:val="6C041C46"/>
    <w:rsid w:val="6CAC2460"/>
    <w:rsid w:val="6E114EEB"/>
    <w:rsid w:val="6E981537"/>
    <w:rsid w:val="6EC7704B"/>
    <w:rsid w:val="6F3239AE"/>
    <w:rsid w:val="6FD12C00"/>
    <w:rsid w:val="71A12E7C"/>
    <w:rsid w:val="71AE1385"/>
    <w:rsid w:val="725A39AC"/>
    <w:rsid w:val="7421118B"/>
    <w:rsid w:val="744F69BD"/>
    <w:rsid w:val="750C7615"/>
    <w:rsid w:val="75463962"/>
    <w:rsid w:val="75D743E8"/>
    <w:rsid w:val="7637387F"/>
    <w:rsid w:val="76846FE7"/>
    <w:rsid w:val="77110C43"/>
    <w:rsid w:val="77881F27"/>
    <w:rsid w:val="77937704"/>
    <w:rsid w:val="784150D0"/>
    <w:rsid w:val="78904661"/>
    <w:rsid w:val="78E568FD"/>
    <w:rsid w:val="79924C25"/>
    <w:rsid w:val="79E72D0B"/>
    <w:rsid w:val="7A3A4D14"/>
    <w:rsid w:val="7AE77965"/>
    <w:rsid w:val="7AF50CCA"/>
    <w:rsid w:val="7B7E1B28"/>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22861</Words>
  <Characters>130973</Characters>
  <Lines>841</Lines>
  <Paragraphs>238</Paragraphs>
  <TotalTime>2</TotalTime>
  <ScaleCrop>false</ScaleCrop>
  <LinksUpToDate>false</LinksUpToDate>
  <CharactersWithSpaces>153670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2024-12-16T15:50:18Z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1046-12.2.0.19307</vt:lpwstr>
  </property>
  <property fmtid="{D5CDD505-2E9C-101B-9397-08002B2CF9AE}" pid="3" name="ICV">
    <vt:lpwstr>259E5F8A4147439C9924670D8356F83E_13</vt:lpwstr>
  </property>
</Properties>
</file>