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 - REPUBLICADO 1</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135/2024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077/2024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90077</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056/2024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01/11</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suplementos alimentares para atender demandas judiciais da Secretaria Municipal de Saúde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315.311,45</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56AFE19E">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C50F232">
            <w:pPr>
              <w:jc w:val="center"/>
              <w:rPr>
                <w:rFonts w:hint="default" w:ascii="Arial" w:hAnsi="Arial" w:cs="Arial"/>
                <w:b/>
                <w:bCs/>
                <w:color w:val="000000"/>
                <w:lang w:val="pt-BR"/>
              </w:rPr>
            </w:pPr>
            <w:r>
              <w:rPr>
                <w:rFonts w:hint="default" w:ascii="Arial" w:hAnsi="Arial" w:cs="Arial"/>
                <w:b/>
                <w:bCs/>
                <w:color w:val="000000"/>
                <w:lang w:val="pt-BR"/>
              </w:rPr>
              <w:t>Edital retificado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E0A9EFD">
            <w:pPr>
              <w:rPr>
                <w:rFonts w:hint="default" w:ascii="Arial" w:hAnsi="Arial" w:cs="Arial"/>
                <w:color w:val="000000"/>
                <w:sz w:val="22"/>
                <w:szCs w:val="22"/>
                <w:lang w:val="pt-BR"/>
              </w:rPr>
            </w:pPr>
            <w:r>
              <w:rPr>
                <w:rFonts w:hint="default" w:ascii="Arial" w:hAnsi="Arial" w:cs="Arial"/>
                <w:color w:val="000000"/>
                <w:sz w:val="22"/>
                <w:szCs w:val="22"/>
                <w:lang w:val="pt-BR"/>
              </w:rPr>
              <w:t>Qualificação técnica</w:t>
            </w:r>
          </w:p>
        </w:tc>
      </w:tr>
    </w:tbl>
    <w:p w14:paraId="0554C34E">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 xml:space="preserve">sendo a aceita o item ofertado de acordo com o TERMO DE REFERENCIA </w:t>
      </w:r>
      <w:r>
        <w:rPr>
          <w:rFonts w:hint="default" w:ascii="Arial" w:hAnsi="Arial" w:cs="Arial"/>
          <w:b/>
          <w:sz w:val="20"/>
          <w:szCs w:val="20"/>
          <w:highlight w:val="yellow"/>
          <w:lang w:val="pt-BR"/>
        </w:rPr>
        <w:t xml:space="preserve">- ANEXO I </w:t>
      </w:r>
      <w:r>
        <w:rPr>
          <w:rFonts w:ascii="Arial" w:hAnsi="Arial" w:cs="Arial"/>
          <w:b/>
          <w:sz w:val="20"/>
          <w:szCs w:val="20"/>
          <w:highlight w:val="yellow"/>
        </w:rPr>
        <w:t>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45667B35">
      <w:pPr>
        <w:jc w:val="center"/>
        <w:rPr>
          <w:rFonts w:ascii="Arial" w:hAnsi="Arial" w:cs="Arial"/>
          <w:sz w:val="20"/>
        </w:rPr>
      </w:pPr>
    </w:p>
    <w:p w14:paraId="63563F2E">
      <w:pPr>
        <w:jc w:val="center"/>
        <w:rPr>
          <w:rFonts w:ascii="Arial" w:hAnsi="Arial" w:cs="Arial"/>
          <w:sz w:val="20"/>
        </w:rPr>
      </w:pPr>
    </w:p>
    <w:p w14:paraId="016821F7">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077/2024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135/2024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01/11/2024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135/2024</w:t>
      </w:r>
      <w:r>
        <w:rPr>
          <w:rFonts w:hint="default" w:ascii="Arial" w:hAnsi="Arial" w:cs="Arial"/>
          <w:sz w:val="18"/>
          <w:szCs w:val="18"/>
        </w:rPr>
        <w:t xml:space="preserve"> para Sistema de Registro de Preços n° </w:t>
      </w:r>
      <w:r>
        <w:rPr>
          <w:rFonts w:hint="default" w:ascii="Arial" w:hAnsi="Arial" w:cs="Arial"/>
          <w:sz w:val="18"/>
          <w:szCs w:val="18"/>
          <w:lang w:val="pt-BR"/>
        </w:rPr>
        <w:t>056/2024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077/2024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suplementos alimentares para atender demandas judiciais da Secretaria Municipal de Saúde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suplementos alimentares para atender demandas judiciais da Secretaria Municipal de Saúde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543837C3">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default" w:ascii="Arial" w:hAnsi="Arial" w:cs="Arial"/>
          <w:b w:val="0"/>
          <w:bCs w:val="0"/>
          <w:color w:val="222222"/>
          <w:sz w:val="18"/>
          <w:szCs w:val="18"/>
        </w:rPr>
      </w:pPr>
      <w:r>
        <w:rPr>
          <w:rFonts w:hint="default" w:ascii="Arial" w:hAnsi="Arial" w:cs="Arial"/>
          <w:b w:val="0"/>
          <w:bCs w:val="0"/>
          <w:sz w:val="18"/>
          <w:szCs w:val="18"/>
        </w:rPr>
        <w:t xml:space="preserve">02.08 – SECRETARIA DE SAÚDE </w:t>
      </w:r>
      <w:r>
        <w:rPr>
          <w:rFonts w:hint="default" w:ascii="Arial" w:hAnsi="Arial" w:cs="Arial"/>
          <w:b w:val="0"/>
          <w:bCs w:val="0"/>
          <w:sz w:val="18"/>
          <w:szCs w:val="18"/>
          <w:lang w:val="pt-BR"/>
        </w:rPr>
        <w:t xml:space="preserve"> </w:t>
      </w:r>
      <w:r>
        <w:rPr>
          <w:rFonts w:hint="default" w:ascii="Arial" w:hAnsi="Arial" w:cs="Arial"/>
          <w:b w:val="0"/>
          <w:bCs w:val="0"/>
          <w:sz w:val="18"/>
          <w:szCs w:val="18"/>
        </w:rPr>
        <w:t>10.122.0000.0.008 – Cumprimento de Sentenças Judiciais na Área da Saúde</w:t>
      </w:r>
    </w:p>
    <w:p w14:paraId="64F2C00F">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b w:val="0"/>
          <w:bCs w:val="0"/>
          <w:color w:val="222222"/>
          <w:sz w:val="18"/>
          <w:szCs w:val="18"/>
          <w:lang w:val="pt-PT"/>
        </w:rPr>
      </w:pPr>
      <w:r>
        <w:rPr>
          <w:rFonts w:hint="default" w:ascii="Arial" w:hAnsi="Arial" w:cs="Arial"/>
          <w:b w:val="0"/>
          <w:bCs w:val="0"/>
          <w:sz w:val="18"/>
          <w:szCs w:val="18"/>
        </w:rPr>
        <w:t>3.3.90.91.00.00.00.00 01.0500 – Sentenças Judiciais</w:t>
      </w:r>
      <w:r>
        <w:rPr>
          <w:rFonts w:hint="default" w:ascii="Arial" w:hAnsi="Arial" w:cs="Arial"/>
          <w:b w:val="0"/>
          <w:bCs w:val="0"/>
          <w:color w:val="222222"/>
          <w:sz w:val="18"/>
          <w:szCs w:val="18"/>
          <w:lang w:val="pt-PT"/>
        </w:rPr>
        <w:t> (Ficha 488)</w:t>
      </w:r>
    </w:p>
    <w:p w14:paraId="5258C64D">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ITEM 2,</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BC34994">
      <w:pPr>
        <w:pStyle w:val="305"/>
        <w:numPr>
          <w:numId w:val="0"/>
        </w:numPr>
        <w:tabs>
          <w:tab w:val="left" w:pos="851"/>
          <w:tab w:val="left" w:pos="993"/>
        </w:tabs>
        <w:spacing w:before="0" w:after="0" w:line="360" w:lineRule="auto"/>
        <w:ind w:leftChars="0"/>
        <w:rPr>
          <w:rFonts w:hint="default" w:ascii="Arial" w:hAnsi="Arial" w:cs="Arial"/>
          <w:sz w:val="18"/>
          <w:szCs w:val="18"/>
        </w:rPr>
      </w:pPr>
    </w:p>
    <w:p w14:paraId="4002CC12">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bCs/>
          <w:sz w:val="18"/>
          <w:szCs w:val="18"/>
          <w:u w:val="single"/>
        </w:rPr>
      </w:pPr>
      <w:r>
        <w:rPr>
          <w:rFonts w:hint="default" w:cs="Arial"/>
          <w:b/>
          <w:bCs/>
          <w:sz w:val="18"/>
          <w:szCs w:val="18"/>
          <w:u w:val="single"/>
          <w:lang w:val="pt-BR"/>
        </w:rPr>
        <w:t xml:space="preserve">5.1.2.1 </w:t>
      </w:r>
      <w:r>
        <w:rPr>
          <w:rFonts w:hint="default" w:ascii="Arial" w:hAnsi="Arial" w:cs="Arial"/>
          <w:b/>
          <w:bCs/>
          <w:sz w:val="18"/>
          <w:szCs w:val="18"/>
          <w:u w:val="single"/>
        </w:rPr>
        <w:t xml:space="preserve">DA INDICAÇÃO DE MARCAS OU MODELOS </w:t>
      </w:r>
    </w:p>
    <w:p w14:paraId="70BE7DF9">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
          <w:bCs/>
          <w:sz w:val="18"/>
          <w:szCs w:val="18"/>
          <w:u w:val="single"/>
          <w:lang w:eastAsia="zh-CN"/>
        </w:rPr>
      </w:pPr>
      <w:r>
        <w:rPr>
          <w:rFonts w:hint="default" w:ascii="Arial" w:hAnsi="Arial" w:eastAsia="LiberationSerif-Bold" w:cs="Arial"/>
          <w:b/>
          <w:bCs/>
          <w:sz w:val="18"/>
          <w:szCs w:val="18"/>
          <w:u w:val="single"/>
          <w:lang w:eastAsia="zh-CN"/>
        </w:rPr>
        <w:t>A justificativa para a aquisição dos suplementos alimentares de marcas específicas baseia-se na necessidade de atender a demandas judiciais que determinam a utilização de produtos específicos para o atendimento adequado dos pacientes. Estas demandas judiciais foram formuladas com base em prescrições médicas que identificam marcas e formulações específicas como essenciais para o tratamento e recuperação dos beneficiários. Portanto, a escolha de marcas específicas não é uma questão de preferência, mas uma exigência para garantir que os produtos atendam às necessidades terapêuticas e nutricionais dos pacientes de forma eficaz. A aceitação de propostas de outros produtos similares poderia comprometer a qualidade do tratamento, uma vez que as características e a eficácia dos suplementos podem variar significativamente entre diferentes marcas. Além disso, a aquisição das marcas indicadas assegura conformidade com as determinações judiciais e evita possíveis contestações legais relacionadas ao atendimento das prescrições médicas. Desta forma, a contratação de suplementos alimentares das marcas específicas é essencial para garantir a legalidade e a eficácia no cumprimento das demandas judiciais, assegurando o atendimento adequado e a qualidade dos cuidados prestados aos pacientes.</w:t>
      </w:r>
    </w:p>
    <w:p w14:paraId="6CFDA988">
      <w:pPr>
        <w:pStyle w:val="305"/>
        <w:numPr>
          <w:ilvl w:val="0"/>
          <w:numId w:val="0"/>
        </w:numPr>
        <w:tabs>
          <w:tab w:val="left" w:pos="851"/>
          <w:tab w:val="left" w:pos="993"/>
        </w:tabs>
        <w:spacing w:before="0" w:after="0" w:line="360" w:lineRule="auto"/>
        <w:ind w:leftChars="0"/>
        <w:rPr>
          <w:rFonts w:hint="default" w:ascii="Arial" w:hAnsi="Arial" w:cs="Arial"/>
          <w:sz w:val="18"/>
          <w:szCs w:val="18"/>
          <w:lang w:val="pt-BR"/>
        </w:rPr>
      </w:pP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0C2AA489">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6E0F9095">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4"/>
        <w:numPr>
          <w:ilvl w:val="1"/>
          <w:numId w:val="9"/>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6AE9BA29">
      <w:pPr>
        <w:pStyle w:val="304"/>
        <w:numPr>
          <w:ilvl w:val="1"/>
          <w:numId w:val="9"/>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firstLine="0"/>
        <w:rPr>
          <w:rFonts w:hint="default" w:ascii="Arial" w:hAnsi="Arial" w:eastAsia="LiberationSerif-Bold" w:cs="Arial"/>
          <w:b/>
          <w:bCs/>
          <w:color w:val="auto"/>
          <w:sz w:val="18"/>
          <w:szCs w:val="18"/>
          <w:highlight w:val="yellow"/>
          <w:lang w:eastAsia="zh-CN"/>
        </w:rPr>
      </w:pPr>
      <w:r>
        <w:rPr>
          <w:rFonts w:hint="default" w:cs="Arial"/>
          <w:b/>
          <w:bCs/>
          <w:color w:val="auto"/>
          <w:sz w:val="18"/>
          <w:szCs w:val="18"/>
          <w:highlight w:val="yellow"/>
          <w:lang w:val="pt-BR"/>
        </w:rPr>
        <w:t xml:space="preserve">Apresentação de </w:t>
      </w:r>
      <w:r>
        <w:rPr>
          <w:rFonts w:hint="default" w:ascii="Arial" w:hAnsi="Arial" w:eastAsia="LiberationSerif-Bold"/>
          <w:b/>
          <w:bCs/>
          <w:color w:val="auto"/>
          <w:sz w:val="18"/>
          <w:szCs w:val="18"/>
          <w:highlight w:val="yellow"/>
          <w:lang w:eastAsia="zh-CN"/>
        </w:rPr>
        <w:t>NÚMERO DO REGISTRO válido do produto na Agência Nacional de Vigilância Sanitária – ANVISA, o número poderá ser informado na proposta vencedora.</w:t>
      </w:r>
    </w:p>
    <w:p w14:paraId="3BA953F6">
      <w:pPr>
        <w:pStyle w:val="304"/>
        <w:numPr>
          <w:ilvl w:val="0"/>
          <w:numId w:val="0"/>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leftChars="0" w:firstLine="0"/>
        <w:rPr>
          <w:rFonts w:hint="default" w:ascii="Arial" w:hAnsi="Arial" w:cs="Arial"/>
          <w:b/>
          <w:bCs/>
          <w:color w:val="auto"/>
          <w:sz w:val="18"/>
          <w:szCs w:val="18"/>
          <w:highlight w:val="yellow"/>
        </w:rPr>
      </w:pPr>
      <w:r>
        <w:rPr>
          <w:rFonts w:hint="default" w:eastAsia="LiberationSerif-Bold"/>
          <w:b/>
          <w:bCs/>
          <w:color w:val="auto"/>
          <w:sz w:val="18"/>
          <w:szCs w:val="18"/>
          <w:highlight w:val="yellow"/>
          <w:lang w:val="pt-BR" w:eastAsia="zh-CN"/>
        </w:rPr>
        <w:t xml:space="preserve">7.17.1 </w:t>
      </w:r>
      <w:r>
        <w:rPr>
          <w:rFonts w:hint="default" w:ascii="Arial" w:hAnsi="Arial" w:eastAsia="LiberationSerif-Bold"/>
          <w:b/>
          <w:bCs/>
          <w:color w:val="auto"/>
          <w:sz w:val="18"/>
          <w:szCs w:val="18"/>
          <w:highlight w:val="yellow"/>
          <w:lang w:eastAsia="zh-CN"/>
        </w:rPr>
        <w:t>Caso o produto esteja dispensado de registro, a licitante deverá encaminhar Declaração de Notificação de Dispensa de Registro ou Certificado de Dispensa de Registro, emitido pela Agência Nacional de Vigilância Sanitária – ANVISA ou outro documento oficial apto a comprovar a dispensa do registro, ficando a cargo da licitante a comprovação de que o produto não está sujeito ao regime da Vigilância Sanitária;</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685486E">
      <w:pPr>
        <w:tabs>
          <w:tab w:val="left" w:pos="993"/>
        </w:tabs>
        <w:jc w:val="both"/>
        <w:rPr>
          <w:rFonts w:hint="default" w:ascii="Arial" w:hAnsi="Arial" w:cs="Arial"/>
          <w:sz w:val="18"/>
          <w:szCs w:val="18"/>
        </w:rPr>
      </w:pPr>
      <w:r>
        <w:rPr>
          <w:rFonts w:hint="default" w:ascii="Arial" w:hAnsi="Arial" w:cs="Arial"/>
          <w:sz w:val="18"/>
          <w:szCs w:val="18"/>
        </w:rPr>
        <w:t xml:space="preserve"> </w:t>
      </w:r>
    </w:p>
    <w:p w14:paraId="000A3BBD">
      <w:pPr>
        <w:tabs>
          <w:tab w:val="left" w:pos="993"/>
        </w:tabs>
        <w:jc w:val="both"/>
        <w:rPr>
          <w:rFonts w:hint="default" w:ascii="Arial" w:hAnsi="Arial" w:cs="Arial"/>
          <w:sz w:val="18"/>
          <w:szCs w:val="18"/>
        </w:rPr>
      </w:pP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4D03DE8">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B9C2C60">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6D9D53C1">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3A9D7B06">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 Deverão ainda ser apresentadas Licença Sanitária expedida pelo órgão competente local, em plena vigência;</w:t>
      </w:r>
    </w:p>
    <w:p w14:paraId="6D0AF35C">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Autorização de Funcionamento de Empresa (AFE) expedida pela Agência Nacional de Vigilância Sanitária (ANVISA), devidamente atualizada,</w:t>
      </w:r>
      <w:r>
        <w:rPr>
          <w:rFonts w:hint="default" w:ascii="Arial" w:hAnsi="Arial" w:eastAsia="LiberationSerif-Bold" w:cs="Arial"/>
          <w:bCs/>
          <w:sz w:val="18"/>
          <w:szCs w:val="18"/>
          <w:lang w:val="pt-BR" w:eastAsia="zh-CN"/>
        </w:rPr>
        <w:t xml:space="preserve"> salvo em casos de fornecedores que possuem documentação comprobatória de isenção de Autorização de Funcionamento de Empresa (AFE).</w:t>
      </w:r>
    </w:p>
    <w:p w14:paraId="75E4F3F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6F0A7D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D34793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F12186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0B1B1734">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A71ED1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E2F1A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3A65B2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w:t>
      </w:r>
      <w:r>
        <w:rPr>
          <w:rFonts w:hint="default" w:cs="Arial"/>
          <w:sz w:val="18"/>
          <w:szCs w:val="18"/>
          <w:lang w:val="pt-BR"/>
        </w:rPr>
        <w:t>7</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w:t>
      </w:r>
      <w:r>
        <w:rPr>
          <w:rFonts w:hint="default" w:ascii="Arial" w:hAnsi="Arial" w:eastAsia="Arial" w:cs="Arial"/>
          <w:b/>
          <w:sz w:val="18"/>
          <w:szCs w:val="18"/>
          <w:lang w:val="pt-BR"/>
        </w:rPr>
        <w:t>8</w:t>
      </w:r>
      <w:r>
        <w:rPr>
          <w:rFonts w:hint="default" w:ascii="Arial" w:hAnsi="Arial" w:eastAsia="Arial" w:cs="Arial"/>
          <w:b/>
          <w:sz w:val="18"/>
          <w:szCs w:val="18"/>
        </w:rPr>
        <w:t xml:space="preserve">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10</w:t>
      </w:r>
      <w:r>
        <w:rPr>
          <w:rFonts w:hint="default" w:ascii="Arial" w:hAnsi="Arial" w:cs="Arial"/>
          <w:sz w:val="18"/>
          <w:szCs w:val="18"/>
          <w:lang w:val="pt-BR"/>
        </w:rPr>
        <w:t xml:space="preserve">.1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0"/>
          <w:numId w:val="0"/>
        </w:numPr>
        <w:spacing w:before="0" w:after="0" w:line="360" w:lineRule="auto"/>
        <w:ind w:leftChars="0"/>
        <w:rPr>
          <w:rFonts w:hint="default" w:ascii="Arial" w:hAnsi="Arial" w:cs="Arial"/>
          <w:i/>
          <w:iCs/>
          <w:sz w:val="18"/>
          <w:szCs w:val="18"/>
        </w:rPr>
      </w:pPr>
      <w:r>
        <w:rPr>
          <w:rFonts w:hint="default"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8.1</w:t>
      </w:r>
      <w:r>
        <w:rPr>
          <w:rFonts w:hint="default" w:cs="Arial"/>
          <w:b/>
          <w:sz w:val="18"/>
          <w:szCs w:val="18"/>
          <w:highlight w:val="yellow"/>
          <w:lang w:val="pt-BR"/>
        </w:rPr>
        <w:t xml:space="preserve">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 xml:space="preserve">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8.1</w:t>
      </w:r>
      <w:r>
        <w:rPr>
          <w:rFonts w:hint="default" w:cs="Arial"/>
          <w:b/>
          <w:bCs/>
          <w:sz w:val="18"/>
          <w:szCs w:val="18"/>
          <w:lang w:val="pt-BR"/>
        </w:rPr>
        <w:t xml:space="preserve">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8.1</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w:t>
      </w:r>
      <w:r>
        <w:rPr>
          <w:rFonts w:hint="default" w:cs="Arial"/>
          <w:sz w:val="18"/>
          <w:szCs w:val="18"/>
          <w:lang w:val="pt-BR"/>
        </w:rPr>
        <w:t>20</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22</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3</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e nota de empenho ou futuro contrato</w:t>
      </w:r>
      <w:r>
        <w:rPr>
          <w:rFonts w:hint="default" w:ascii="Arial" w:hAnsi="Arial" w:cs="Arial"/>
          <w:b w:val="0"/>
          <w:bCs w:val="0"/>
          <w:sz w:val="18"/>
          <w:szCs w:val="18"/>
        </w:rPr>
        <w:t xml:space="preserve"> pela área competente da Prefeitura Municipal de Cataguases, sendo:</w:t>
      </w:r>
    </w:p>
    <w:p w14:paraId="59239E69">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default" w:ascii="Arial" w:hAnsi="Arial" w:cs="Arial"/>
          <w:b w:val="0"/>
          <w:bCs w:val="0"/>
          <w:color w:val="222222"/>
          <w:sz w:val="18"/>
          <w:szCs w:val="18"/>
        </w:rPr>
      </w:pPr>
      <w:r>
        <w:rPr>
          <w:rFonts w:hint="default" w:ascii="Arial" w:hAnsi="Arial" w:cs="Arial"/>
          <w:b w:val="0"/>
          <w:bCs w:val="0"/>
          <w:sz w:val="18"/>
          <w:szCs w:val="18"/>
        </w:rPr>
        <w:t>02.08 – SECRETARIA DE SAÚDE 10.122.0000.0.008 – Cumprimento de Sentenças Judiciais na Área da Saúde</w:t>
      </w:r>
    </w:p>
    <w:p w14:paraId="763A6C57">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r>
        <w:rPr>
          <w:rFonts w:hint="default" w:ascii="Arial" w:hAnsi="Arial" w:cs="Arial"/>
          <w:sz w:val="18"/>
          <w:szCs w:val="18"/>
        </w:rPr>
        <w:t>3.3.90.91.00.00.00.00 01.0500 – Sentenças Judiciais</w:t>
      </w:r>
      <w:r>
        <w:rPr>
          <w:rFonts w:hint="default" w:ascii="Arial" w:hAnsi="Arial" w:cs="Arial"/>
          <w:color w:val="222222"/>
          <w:sz w:val="18"/>
          <w:szCs w:val="18"/>
          <w:lang w:val="pt-PT"/>
        </w:rPr>
        <w:t> (Ficha 488)</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eastAsia="LiberationSerif-Bold" w:cs="Arial"/>
          <w:bCs/>
          <w:sz w:val="18"/>
          <w:szCs w:val="18"/>
          <w:lang w:eastAsia="zh-CN"/>
        </w:rPr>
        <w:t>R$ 315.311,45 (trezentos e quinze mil</w:t>
      </w:r>
      <w:r>
        <w:rPr>
          <w:rFonts w:hint="default" w:ascii="Arial" w:hAnsi="Arial" w:eastAsia="LiberationSerif-Bold" w:cs="Arial"/>
          <w:bCs/>
          <w:sz w:val="18"/>
          <w:szCs w:val="18"/>
          <w:lang w:val="pt-BR" w:eastAsia="zh-CN"/>
        </w:rPr>
        <w:t xml:space="preserve">, </w:t>
      </w:r>
      <w:r>
        <w:rPr>
          <w:rFonts w:hint="default" w:ascii="Arial" w:hAnsi="Arial" w:eastAsia="LiberationSerif-Bold" w:cs="Arial"/>
          <w:bCs/>
          <w:sz w:val="18"/>
          <w:szCs w:val="18"/>
          <w:lang w:eastAsia="zh-CN"/>
        </w:rPr>
        <w:t>trezentos e onze reais e quarenta e cinco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i"/>
      <w:bookmarkEnd w:id="28"/>
      <w:bookmarkStart w:id="29" w:name="art155iv"/>
      <w:bookmarkEnd w:id="29"/>
      <w:bookmarkStart w:id="30" w:name="art155ix"/>
      <w:bookmarkEnd w:id="30"/>
      <w:bookmarkStart w:id="31" w:name="art155vi"/>
      <w:bookmarkEnd w:id="31"/>
      <w:bookmarkStart w:id="32" w:name="art155v"/>
      <w:bookmarkEnd w:id="32"/>
      <w:bookmarkStart w:id="33" w:name="art155vii"/>
      <w:bookmarkEnd w:id="33"/>
      <w:bookmarkStart w:id="34" w:name="art155x"/>
      <w:bookmarkEnd w:id="34"/>
      <w:bookmarkStart w:id="35" w:name="art155iii"/>
      <w:bookmarkEnd w:id="35"/>
      <w:bookmarkStart w:id="36" w:name="art155viii"/>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7"/>
      <w:bookmarkEnd w:id="37"/>
      <w:bookmarkStart w:id="38" w:name="art156§3"/>
      <w:bookmarkEnd w:id="38"/>
      <w:bookmarkStart w:id="39" w:name="art156§6ii"/>
      <w:bookmarkEnd w:id="39"/>
      <w:bookmarkStart w:id="40" w:name="art156§4"/>
      <w:bookmarkEnd w:id="40"/>
      <w:bookmarkStart w:id="41" w:name="art156§6"/>
      <w:bookmarkEnd w:id="41"/>
      <w:bookmarkStart w:id="42" w:name="art156§5"/>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01FBE790">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Esclarecimento Secretaria de Saúde</w:t>
      </w:r>
    </w:p>
    <w:p w14:paraId="6891C9EE">
      <w:pPr>
        <w:pStyle w:val="305"/>
        <w:spacing w:before="0" w:after="0" w:line="240" w:lineRule="auto"/>
        <w:ind w:left="0"/>
        <w:rPr>
          <w:rFonts w:hint="default" w:ascii="Arial" w:hAnsi="Arial" w:cs="Arial"/>
          <w:sz w:val="18"/>
          <w:szCs w:val="18"/>
        </w:rPr>
      </w:pPr>
    </w:p>
    <w:p w14:paraId="6230D69D">
      <w:pPr>
        <w:pStyle w:val="305"/>
        <w:spacing w:before="0" w:after="0" w:line="240" w:lineRule="auto"/>
        <w:ind w:left="0"/>
        <w:rPr>
          <w:rFonts w:hint="default" w:ascii="Arial" w:hAnsi="Arial" w:cs="Arial"/>
          <w:sz w:val="18"/>
          <w:szCs w:val="18"/>
        </w:rPr>
      </w:pPr>
    </w:p>
    <w:p w14:paraId="01DC98C8">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17 de outubro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1934E0E5">
      <w:pPr>
        <w:spacing w:line="360" w:lineRule="auto"/>
        <w:ind w:firstLine="567"/>
        <w:jc w:val="center"/>
        <w:rPr>
          <w:rFonts w:ascii="Arial" w:hAnsi="Arial" w:cs="Arial"/>
          <w:b/>
          <w:bCs/>
          <w:sz w:val="20"/>
          <w:szCs w:val="20"/>
        </w:rPr>
      </w:pPr>
    </w:p>
    <w:p w14:paraId="3D7CEE6F">
      <w:pPr>
        <w:spacing w:line="360" w:lineRule="auto"/>
        <w:ind w:firstLine="567"/>
        <w:jc w:val="center"/>
        <w:rPr>
          <w:rFonts w:ascii="Arial" w:hAnsi="Arial" w:cs="Arial"/>
          <w:b/>
          <w:bCs/>
          <w:sz w:val="20"/>
          <w:szCs w:val="20"/>
        </w:rPr>
      </w:pPr>
    </w:p>
    <w:p w14:paraId="4BA85C89">
      <w:pPr>
        <w:spacing w:line="360" w:lineRule="auto"/>
        <w:ind w:firstLine="567"/>
        <w:jc w:val="center"/>
        <w:rPr>
          <w:rFonts w:ascii="Arial" w:hAnsi="Arial" w:cs="Arial"/>
          <w:b/>
          <w:bCs/>
          <w:sz w:val="20"/>
          <w:szCs w:val="20"/>
        </w:rPr>
      </w:pPr>
    </w:p>
    <w:p w14:paraId="0E040472">
      <w:pPr>
        <w:spacing w:line="360" w:lineRule="auto"/>
        <w:ind w:firstLine="567"/>
        <w:jc w:val="center"/>
        <w:rPr>
          <w:rFonts w:ascii="Arial" w:hAnsi="Arial" w:cs="Arial"/>
          <w:b/>
          <w:bCs/>
          <w:sz w:val="20"/>
          <w:szCs w:val="20"/>
        </w:rPr>
      </w:pPr>
    </w:p>
    <w:p w14:paraId="77F98FC6">
      <w:pPr>
        <w:spacing w:line="360" w:lineRule="auto"/>
        <w:ind w:firstLine="567"/>
        <w:jc w:val="center"/>
        <w:rPr>
          <w:rFonts w:ascii="Arial" w:hAnsi="Arial" w:cs="Arial"/>
          <w:b/>
          <w:bCs/>
          <w:sz w:val="20"/>
          <w:szCs w:val="20"/>
        </w:rPr>
      </w:pPr>
    </w:p>
    <w:p w14:paraId="22013FC2">
      <w:pPr>
        <w:spacing w:line="360" w:lineRule="auto"/>
        <w:ind w:firstLine="567"/>
        <w:jc w:val="center"/>
        <w:rPr>
          <w:rFonts w:ascii="Arial" w:hAnsi="Arial" w:cs="Arial"/>
          <w:b/>
          <w:bCs/>
          <w:sz w:val="20"/>
          <w:szCs w:val="20"/>
        </w:rPr>
      </w:pPr>
    </w:p>
    <w:p w14:paraId="1C7F4854">
      <w:pPr>
        <w:spacing w:line="360" w:lineRule="auto"/>
        <w:ind w:firstLine="567"/>
        <w:jc w:val="center"/>
        <w:rPr>
          <w:rFonts w:ascii="Arial" w:hAnsi="Arial" w:cs="Arial"/>
          <w:b/>
          <w:bCs/>
          <w:sz w:val="20"/>
          <w:szCs w:val="20"/>
        </w:rPr>
      </w:pPr>
    </w:p>
    <w:p w14:paraId="375A4D82">
      <w:pPr>
        <w:spacing w:line="360" w:lineRule="auto"/>
        <w:ind w:firstLine="567"/>
        <w:jc w:val="center"/>
        <w:rPr>
          <w:rFonts w:ascii="Arial" w:hAnsi="Arial" w:cs="Arial"/>
          <w:b/>
          <w:bCs/>
          <w:sz w:val="20"/>
          <w:szCs w:val="20"/>
        </w:rPr>
      </w:pPr>
    </w:p>
    <w:p w14:paraId="53888A45">
      <w:pPr>
        <w:spacing w:line="360" w:lineRule="auto"/>
        <w:ind w:firstLine="567"/>
        <w:jc w:val="center"/>
        <w:rPr>
          <w:rFonts w:ascii="Arial" w:hAnsi="Arial" w:cs="Arial"/>
          <w:b/>
          <w:bCs/>
          <w:sz w:val="20"/>
          <w:szCs w:val="20"/>
        </w:rPr>
      </w:pPr>
    </w:p>
    <w:p w14:paraId="57F72113">
      <w:pPr>
        <w:spacing w:line="360" w:lineRule="auto"/>
        <w:ind w:firstLine="567"/>
        <w:jc w:val="center"/>
        <w:rPr>
          <w:rFonts w:ascii="Arial" w:hAnsi="Arial" w:cs="Arial"/>
          <w:b/>
          <w:bCs/>
          <w:sz w:val="20"/>
          <w:szCs w:val="20"/>
        </w:rPr>
      </w:pPr>
    </w:p>
    <w:p w14:paraId="52E04FC6">
      <w:pPr>
        <w:spacing w:line="360" w:lineRule="auto"/>
        <w:ind w:firstLine="567"/>
        <w:jc w:val="center"/>
        <w:rPr>
          <w:rFonts w:ascii="Arial" w:hAnsi="Arial" w:cs="Arial"/>
          <w:b/>
          <w:bCs/>
          <w:sz w:val="20"/>
          <w:szCs w:val="20"/>
        </w:rPr>
      </w:pPr>
    </w:p>
    <w:p w14:paraId="7DEEB679">
      <w:pPr>
        <w:spacing w:line="360" w:lineRule="auto"/>
        <w:ind w:firstLine="567"/>
        <w:jc w:val="center"/>
        <w:rPr>
          <w:rFonts w:ascii="Arial" w:hAnsi="Arial" w:cs="Arial"/>
          <w:b/>
          <w:bCs/>
          <w:sz w:val="20"/>
          <w:szCs w:val="20"/>
        </w:rPr>
      </w:pPr>
    </w:p>
    <w:p w14:paraId="2DA39FB5">
      <w:pPr>
        <w:spacing w:line="360" w:lineRule="auto"/>
        <w:ind w:firstLine="567"/>
        <w:jc w:val="center"/>
        <w:rPr>
          <w:rFonts w:ascii="Arial" w:hAnsi="Arial" w:cs="Arial"/>
          <w:b/>
          <w:bCs/>
          <w:sz w:val="20"/>
          <w:szCs w:val="20"/>
        </w:rPr>
      </w:pPr>
    </w:p>
    <w:p w14:paraId="2C9A717F">
      <w:pPr>
        <w:spacing w:line="360" w:lineRule="auto"/>
        <w:ind w:firstLine="567"/>
        <w:jc w:val="center"/>
        <w:rPr>
          <w:rFonts w:ascii="Arial" w:hAnsi="Arial" w:cs="Arial"/>
          <w:b/>
          <w:bCs/>
          <w:sz w:val="20"/>
          <w:szCs w:val="20"/>
        </w:rPr>
      </w:pPr>
    </w:p>
    <w:p w14:paraId="6577ADC5">
      <w:pPr>
        <w:spacing w:line="360" w:lineRule="auto"/>
        <w:ind w:firstLine="567"/>
        <w:jc w:val="center"/>
        <w:rPr>
          <w:rFonts w:ascii="Arial" w:hAnsi="Arial" w:cs="Arial"/>
          <w:b/>
          <w:bCs/>
          <w:sz w:val="20"/>
          <w:szCs w:val="20"/>
        </w:rPr>
      </w:pPr>
    </w:p>
    <w:p w14:paraId="65F0BAB5">
      <w:pPr>
        <w:spacing w:line="360" w:lineRule="auto"/>
        <w:ind w:firstLine="567"/>
        <w:jc w:val="center"/>
        <w:rPr>
          <w:rFonts w:ascii="Arial" w:hAnsi="Arial" w:cs="Arial"/>
          <w:b/>
          <w:bCs/>
          <w:sz w:val="20"/>
          <w:szCs w:val="20"/>
        </w:rPr>
      </w:pPr>
    </w:p>
    <w:p w14:paraId="66539FA4">
      <w:pPr>
        <w:spacing w:line="360" w:lineRule="auto"/>
        <w:ind w:firstLine="567"/>
        <w:jc w:val="center"/>
        <w:rPr>
          <w:rFonts w:ascii="Arial" w:hAnsi="Arial" w:cs="Arial"/>
          <w:b/>
          <w:bCs/>
          <w:sz w:val="20"/>
          <w:szCs w:val="20"/>
        </w:rPr>
      </w:pPr>
    </w:p>
    <w:p w14:paraId="0B23DA76">
      <w:pPr>
        <w:spacing w:line="360" w:lineRule="auto"/>
        <w:ind w:firstLine="567"/>
        <w:jc w:val="center"/>
        <w:rPr>
          <w:rFonts w:ascii="Arial" w:hAnsi="Arial" w:cs="Arial"/>
          <w:b/>
          <w:bCs/>
          <w:sz w:val="20"/>
          <w:szCs w:val="20"/>
        </w:rPr>
      </w:pPr>
    </w:p>
    <w:p w14:paraId="2D4FC03E">
      <w:pPr>
        <w:spacing w:line="360" w:lineRule="auto"/>
        <w:ind w:firstLine="567"/>
        <w:jc w:val="center"/>
        <w:rPr>
          <w:rFonts w:ascii="Arial" w:hAnsi="Arial" w:cs="Arial"/>
          <w:b/>
          <w:bCs/>
          <w:sz w:val="20"/>
          <w:szCs w:val="20"/>
        </w:rPr>
      </w:pPr>
    </w:p>
    <w:p w14:paraId="7EAA7E08">
      <w:pPr>
        <w:spacing w:line="360" w:lineRule="auto"/>
        <w:ind w:firstLine="567"/>
        <w:jc w:val="center"/>
        <w:rPr>
          <w:rFonts w:ascii="Arial" w:hAnsi="Arial" w:cs="Arial"/>
          <w:b/>
          <w:bCs/>
          <w:sz w:val="20"/>
          <w:szCs w:val="20"/>
        </w:rPr>
      </w:pPr>
    </w:p>
    <w:p w14:paraId="53FFBCAD">
      <w:pPr>
        <w:spacing w:line="360" w:lineRule="auto"/>
        <w:ind w:firstLine="567"/>
        <w:jc w:val="center"/>
        <w:rPr>
          <w:rFonts w:ascii="Arial" w:hAnsi="Arial" w:cs="Arial"/>
          <w:b/>
          <w:bCs/>
          <w:sz w:val="20"/>
          <w:szCs w:val="20"/>
        </w:rPr>
      </w:pPr>
    </w:p>
    <w:p w14:paraId="4FBEEBA6">
      <w:pPr>
        <w:spacing w:line="360" w:lineRule="auto"/>
        <w:ind w:firstLine="567"/>
        <w:jc w:val="center"/>
        <w:rPr>
          <w:rFonts w:ascii="Arial" w:hAnsi="Arial" w:cs="Arial"/>
          <w:b/>
          <w:bCs/>
          <w:sz w:val="20"/>
          <w:szCs w:val="20"/>
        </w:rPr>
      </w:pPr>
    </w:p>
    <w:p w14:paraId="479299B0">
      <w:pPr>
        <w:spacing w:line="360" w:lineRule="auto"/>
        <w:ind w:firstLine="567"/>
        <w:jc w:val="center"/>
        <w:rPr>
          <w:rFonts w:ascii="Arial" w:hAnsi="Arial" w:cs="Arial"/>
          <w:b/>
          <w:bCs/>
          <w:sz w:val="20"/>
          <w:szCs w:val="20"/>
        </w:rPr>
      </w:pPr>
    </w:p>
    <w:p w14:paraId="7FD5E3CB">
      <w:pPr>
        <w:spacing w:line="360" w:lineRule="auto"/>
        <w:ind w:firstLine="567"/>
        <w:jc w:val="center"/>
        <w:rPr>
          <w:rFonts w:ascii="Arial" w:hAnsi="Arial" w:cs="Arial"/>
          <w:b/>
          <w:bCs/>
          <w:sz w:val="20"/>
          <w:szCs w:val="20"/>
        </w:rPr>
      </w:pPr>
    </w:p>
    <w:p w14:paraId="57E0AD7C">
      <w:pPr>
        <w:spacing w:line="360" w:lineRule="auto"/>
        <w:ind w:firstLine="567"/>
        <w:jc w:val="center"/>
        <w:rPr>
          <w:rFonts w:ascii="Arial" w:hAnsi="Arial" w:cs="Arial"/>
          <w:b/>
          <w:bCs/>
          <w:sz w:val="20"/>
          <w:szCs w:val="20"/>
        </w:rPr>
      </w:pPr>
    </w:p>
    <w:p w14:paraId="02FD75BD">
      <w:pPr>
        <w:spacing w:line="360" w:lineRule="auto"/>
        <w:ind w:firstLine="567"/>
        <w:jc w:val="center"/>
        <w:rPr>
          <w:rFonts w:ascii="Arial" w:hAnsi="Arial" w:cs="Arial"/>
          <w:b/>
          <w:bCs/>
          <w:sz w:val="20"/>
          <w:szCs w:val="20"/>
        </w:rPr>
      </w:pPr>
    </w:p>
    <w:p w14:paraId="65316460">
      <w:pPr>
        <w:spacing w:line="360" w:lineRule="auto"/>
        <w:ind w:firstLine="567"/>
        <w:jc w:val="center"/>
        <w:rPr>
          <w:rFonts w:ascii="Arial" w:hAnsi="Arial" w:cs="Arial"/>
          <w:b/>
          <w:bCs/>
          <w:sz w:val="20"/>
          <w:szCs w:val="20"/>
        </w:rPr>
      </w:pPr>
    </w:p>
    <w:p w14:paraId="7709C44C">
      <w:pPr>
        <w:spacing w:line="360" w:lineRule="auto"/>
        <w:ind w:firstLine="567"/>
        <w:jc w:val="center"/>
        <w:rPr>
          <w:rFonts w:ascii="Arial" w:hAnsi="Arial" w:cs="Arial"/>
          <w:b/>
          <w:bCs/>
          <w:sz w:val="20"/>
          <w:szCs w:val="20"/>
        </w:rPr>
      </w:pPr>
    </w:p>
    <w:p w14:paraId="49737D6B">
      <w:pPr>
        <w:spacing w:line="360" w:lineRule="auto"/>
        <w:ind w:firstLine="567"/>
        <w:jc w:val="center"/>
        <w:rPr>
          <w:rFonts w:ascii="Arial" w:hAnsi="Arial" w:cs="Arial"/>
          <w:b/>
          <w:bCs/>
          <w:sz w:val="20"/>
          <w:szCs w:val="20"/>
        </w:rPr>
      </w:pPr>
    </w:p>
    <w:p w14:paraId="03E056D6">
      <w:pPr>
        <w:spacing w:line="360" w:lineRule="auto"/>
        <w:ind w:firstLine="567"/>
        <w:jc w:val="center"/>
        <w:rPr>
          <w:rFonts w:ascii="Arial" w:hAnsi="Arial" w:cs="Arial"/>
          <w:b/>
          <w:bCs/>
          <w:sz w:val="20"/>
          <w:szCs w:val="20"/>
        </w:rPr>
      </w:pPr>
    </w:p>
    <w:p w14:paraId="3A56676F">
      <w:pPr>
        <w:spacing w:line="360" w:lineRule="auto"/>
        <w:ind w:firstLine="567"/>
        <w:jc w:val="center"/>
        <w:rPr>
          <w:rFonts w:ascii="Arial" w:hAnsi="Arial" w:cs="Arial"/>
          <w:b/>
          <w:bCs/>
          <w:sz w:val="20"/>
          <w:szCs w:val="20"/>
        </w:rPr>
      </w:pPr>
    </w:p>
    <w:p w14:paraId="7767C5FC">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135/2024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077/2024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056/2024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156F0479">
      <w:pPr>
        <w:pStyle w:val="221"/>
        <w:numPr>
          <w:ilvl w:val="0"/>
          <w:numId w:val="0"/>
        </w:numPr>
        <w:ind w:leftChars="0"/>
        <w:rPr>
          <w:rFonts w:hint="default" w:ascii="Arial" w:hAnsi="Arial" w:cs="Arial"/>
          <w:b/>
          <w:sz w:val="19"/>
          <w:szCs w:val="19"/>
        </w:rPr>
      </w:pPr>
    </w:p>
    <w:p w14:paraId="4BB5FE2D">
      <w:pPr>
        <w:autoSpaceDE w:val="0"/>
        <w:autoSpaceDN w:val="0"/>
        <w:adjustRightInd w:val="0"/>
        <w:spacing w:line="276" w:lineRule="auto"/>
        <w:jc w:val="center"/>
        <w:rPr>
          <w:rFonts w:hint="default" w:ascii="Arial" w:hAnsi="Arial" w:cs="Arial"/>
          <w:b/>
          <w:sz w:val="18"/>
          <w:szCs w:val="18"/>
        </w:rPr>
      </w:pPr>
    </w:p>
    <w:p w14:paraId="3A2CAA4E">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40" w:lineRule="auto"/>
        <w:jc w:val="center"/>
        <w:rPr>
          <w:rFonts w:hint="default" w:ascii="Arial" w:hAnsi="Arial" w:cs="Arial"/>
          <w:b/>
          <w:sz w:val="18"/>
          <w:szCs w:val="18"/>
        </w:rPr>
      </w:pPr>
    </w:p>
    <w:p w14:paraId="20ABEBA4">
      <w:pPr>
        <w:autoSpaceDE w:val="0"/>
        <w:autoSpaceDN w:val="0"/>
        <w:adjustRightInd w:val="0"/>
        <w:spacing w:line="240" w:lineRule="auto"/>
        <w:jc w:val="center"/>
        <w:rPr>
          <w:rFonts w:hint="default" w:ascii="Arial" w:hAnsi="Arial" w:cs="Arial"/>
          <w:b/>
          <w:sz w:val="18"/>
          <w:szCs w:val="18"/>
        </w:rPr>
      </w:pPr>
    </w:p>
    <w:p w14:paraId="52E69476">
      <w:pPr>
        <w:pageBreakBefore w:val="0"/>
        <w:widowControl/>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do tipo Pregão na forma eletrônica, para Registro de Preços, menor preço por item, </w:t>
      </w:r>
      <w:r>
        <w:rPr>
          <w:rFonts w:hint="default" w:ascii="Arial" w:hAnsi="Arial" w:cs="Arial"/>
          <w:sz w:val="18"/>
          <w:szCs w:val="18"/>
        </w:rPr>
        <w:t>para aquisição de suplementos alimentares, para atender às demandas judiciais da Secretaria Municipal de Saúde de Cataguases – MG.</w:t>
      </w:r>
    </w:p>
    <w:p w14:paraId="74E68001">
      <w:pPr>
        <w:pageBreakBefore w:val="0"/>
        <w:widowControl/>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lang w:eastAsia="zh-CN"/>
        </w:rPr>
      </w:pPr>
    </w:p>
    <w:p w14:paraId="2BC31664">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154ECEFA">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color w:val="FF0000"/>
          <w:sz w:val="18"/>
          <w:szCs w:val="18"/>
        </w:rPr>
      </w:pPr>
      <w:r>
        <w:rPr>
          <w:rFonts w:hint="default" w:ascii="Arial" w:hAnsi="Arial" w:cs="Arial"/>
          <w:color w:val="auto"/>
          <w:sz w:val="18"/>
          <w:szCs w:val="18"/>
        </w:rPr>
        <w:t xml:space="preserve">Aquisição de </w:t>
      </w:r>
      <w:r>
        <w:rPr>
          <w:rFonts w:hint="default" w:ascii="Arial" w:hAnsi="Arial" w:cs="Arial"/>
          <w:sz w:val="18"/>
          <w:szCs w:val="18"/>
        </w:rPr>
        <w:t>suplementos alimentares, para atender às demandas judiciais</w:t>
      </w:r>
      <w:r>
        <w:rPr>
          <w:rFonts w:hint="default" w:ascii="Arial" w:hAnsi="Arial" w:eastAsia="LiberationSerif-Bold" w:cs="Arial"/>
          <w:bCs/>
          <w:sz w:val="18"/>
          <w:szCs w:val="18"/>
          <w:lang w:eastAsia="zh-CN"/>
        </w:rPr>
        <w:t>.</w:t>
      </w:r>
    </w:p>
    <w:p w14:paraId="2F317EDA">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756D7CC4">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09CFE159">
      <w:pPr>
        <w:pageBreakBefore w:val="0"/>
        <w:widowControl/>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lang w:eastAsia="pt-BR"/>
        </w:rPr>
      </w:pPr>
      <w:r>
        <w:rPr>
          <w:rFonts w:hint="default" w:ascii="Arial" w:hAnsi="Arial" w:cs="Arial"/>
          <w:sz w:val="18"/>
          <w:szCs w:val="18"/>
        </w:rPr>
        <w:t xml:space="preserve">O objeto enquadra-se na classificação de </w:t>
      </w:r>
      <w:r>
        <w:rPr>
          <w:rFonts w:hint="default" w:ascii="Arial" w:hAnsi="Arial" w:cs="Arial"/>
          <w:color w:val="000000"/>
          <w:sz w:val="18"/>
          <w:szCs w:val="18"/>
        </w:rPr>
        <w:t xml:space="preserve">compra, tendo em vista seu caráter de aquisição remunerada de bens para fornecimento de uma só vez ou parceladamente, considerada imediata aquela com prazo de entrega de até </w:t>
      </w:r>
      <w:r>
        <w:rPr>
          <w:rFonts w:hint="default" w:ascii="Arial" w:hAnsi="Arial" w:eastAsia="LiberationSerif-Bold" w:cs="Arial"/>
          <w:bCs/>
          <w:sz w:val="18"/>
          <w:szCs w:val="18"/>
          <w:lang w:eastAsia="zh-CN"/>
        </w:rPr>
        <w:t>30 (trinta) dias</w:t>
      </w:r>
      <w:r>
        <w:rPr>
          <w:rFonts w:hint="default" w:ascii="Arial" w:hAnsi="Arial" w:cs="Arial"/>
          <w:color w:val="000000"/>
          <w:sz w:val="18"/>
          <w:szCs w:val="18"/>
        </w:rPr>
        <w:t xml:space="preserve"> dias da ordem de fornecimento</w:t>
      </w:r>
      <w:r>
        <w:rPr>
          <w:rFonts w:hint="default" w:ascii="Arial" w:hAnsi="Arial" w:cs="Arial"/>
          <w:sz w:val="18"/>
          <w:szCs w:val="18"/>
        </w:rPr>
        <w:t>, nos termos do art.6°, inciso X, da Lei Federal nº 14.133/2021.</w:t>
      </w:r>
    </w:p>
    <w:p w14:paraId="4437C761">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4E2EA84D">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vigência da contratação. </w:t>
      </w:r>
    </w:p>
    <w:p w14:paraId="645420D0">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0BD02B74">
      <w:pPr>
        <w:pageBreakBefore w:val="0"/>
        <w:widowControl/>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DESCRIÇÃO, ESPECIFICAÇÃO E QUANTIDADE</w:t>
      </w:r>
    </w:p>
    <w:p w14:paraId="505CAE10">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sz w:val="18"/>
          <w:szCs w:val="18"/>
          <w:lang w:eastAsia="zh-CN"/>
        </w:rPr>
        <w:t>A estimativa das quantidades a serem contratadas são detalhadas conforme tabela abaixo:</w:t>
      </w:r>
    </w:p>
    <w:tbl>
      <w:tblPr>
        <w:tblStyle w:val="5"/>
        <w:tblW w:w="107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9"/>
        <w:gridCol w:w="4497"/>
        <w:gridCol w:w="1561"/>
        <w:gridCol w:w="1157"/>
        <w:gridCol w:w="1134"/>
        <w:gridCol w:w="709"/>
        <w:gridCol w:w="992"/>
      </w:tblGrid>
      <w:tr w14:paraId="16029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749" w:type="dxa"/>
            <w:vAlign w:val="center"/>
          </w:tcPr>
          <w:p w14:paraId="0A2798C8">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Item</w:t>
            </w:r>
          </w:p>
        </w:tc>
        <w:tc>
          <w:tcPr>
            <w:tcW w:w="4497" w:type="dxa"/>
            <w:vAlign w:val="center"/>
          </w:tcPr>
          <w:p w14:paraId="2DA8A7B7">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Descrição</w:t>
            </w:r>
          </w:p>
        </w:tc>
        <w:tc>
          <w:tcPr>
            <w:tcW w:w="1561" w:type="dxa"/>
            <w:vAlign w:val="center"/>
          </w:tcPr>
          <w:p w14:paraId="32CCA2E9">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Marcas para Referência</w:t>
            </w:r>
          </w:p>
        </w:tc>
        <w:tc>
          <w:tcPr>
            <w:tcW w:w="1157" w:type="dxa"/>
            <w:vAlign w:val="center"/>
          </w:tcPr>
          <w:p w14:paraId="6B552E2E">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Und</w:t>
            </w:r>
          </w:p>
        </w:tc>
        <w:tc>
          <w:tcPr>
            <w:tcW w:w="1134" w:type="dxa"/>
            <w:vAlign w:val="center"/>
          </w:tcPr>
          <w:p w14:paraId="33288072">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Qtd mínimo</w:t>
            </w:r>
          </w:p>
        </w:tc>
        <w:tc>
          <w:tcPr>
            <w:tcW w:w="709" w:type="dxa"/>
            <w:vAlign w:val="center"/>
          </w:tcPr>
          <w:p w14:paraId="4487F958">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Qtd</w:t>
            </w:r>
          </w:p>
        </w:tc>
        <w:tc>
          <w:tcPr>
            <w:tcW w:w="992" w:type="dxa"/>
            <w:vAlign w:val="center"/>
          </w:tcPr>
          <w:p w14:paraId="3D0A7651">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Código</w:t>
            </w:r>
          </w:p>
        </w:tc>
      </w:tr>
      <w:tr w14:paraId="644F1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49" w:type="dxa"/>
            <w:vAlign w:val="center"/>
          </w:tcPr>
          <w:p w14:paraId="47D1DAAD">
            <w:pPr>
              <w:pStyle w:val="221"/>
              <w:pageBreakBefore w:val="0"/>
              <w:widowControl/>
              <w:numPr>
                <w:ilvl w:val="0"/>
                <w:numId w:val="0"/>
              </w:numPr>
              <w:kinsoku/>
              <w:wordWrap/>
              <w:overflowPunct/>
              <w:topLinePunct w:val="0"/>
              <w:bidi w:val="0"/>
              <w:snapToGrid/>
              <w:spacing w:beforeAutospacing="0" w:afterAutospacing="0" w:line="360" w:lineRule="auto"/>
              <w:ind w:leftChars="0" w:right="0" w:rightChars="0"/>
              <w:jc w:val="center"/>
              <w:textAlignment w:val="auto"/>
              <w:rPr>
                <w:rFonts w:hint="default" w:ascii="Arial" w:hAnsi="Arial" w:cs="Arial"/>
                <w:sz w:val="18"/>
                <w:szCs w:val="18"/>
                <w:shd w:val="clear" w:color="auto" w:fill="FFFFFF"/>
                <w:lang w:val="pt-BR"/>
              </w:rPr>
            </w:pPr>
            <w:r>
              <w:rPr>
                <w:rFonts w:hint="default" w:ascii="Arial" w:hAnsi="Arial" w:cs="Arial"/>
                <w:sz w:val="18"/>
                <w:szCs w:val="18"/>
                <w:shd w:val="clear" w:color="auto" w:fill="FFFFFF"/>
                <w:lang w:val="pt-BR"/>
              </w:rPr>
              <w:t>1</w:t>
            </w:r>
          </w:p>
        </w:tc>
        <w:tc>
          <w:tcPr>
            <w:tcW w:w="4497" w:type="dxa"/>
          </w:tcPr>
          <w:p w14:paraId="1C9BBDC4">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bCs/>
                <w:sz w:val="18"/>
                <w:szCs w:val="18"/>
                <w:shd w:val="clear" w:color="auto" w:fill="FFFFFF"/>
              </w:rPr>
              <w:t>Dieta Enteral:</w:t>
            </w:r>
            <w:r>
              <w:rPr>
                <w:rFonts w:hint="default" w:ascii="Arial" w:hAnsi="Arial" w:cs="Arial"/>
                <w:sz w:val="18"/>
                <w:szCs w:val="18"/>
                <w:shd w:val="clear" w:color="auto" w:fill="FFFFFF"/>
              </w:rPr>
              <w:t xml:space="preserve"> Aspecto Físico: Líquido, uso: enteral ou oral, Características: Hipercalórica, Hiperproteica, fonte de proteína: caseinato e ptnisol.soja e/ou ptnlsol.leite. Fonte de Carboidrato: Xarope Milho E/Ou Sacarose E/Ou Maltodextrina Fonte De Lipídios: Óleos Veg.E/Ou Tcm E/Ou Lec.Soja Componentes Adicionais: Vitaminas E Minerais Características Adicionais: Isenta Lactose E Glúten./ </w:t>
            </w:r>
            <w:r>
              <w:rPr>
                <w:rFonts w:hint="default" w:ascii="Arial" w:hAnsi="Arial" w:cs="Arial"/>
                <w:sz w:val="18"/>
                <w:szCs w:val="18"/>
              </w:rPr>
              <w:t>Frasco 1.000ml/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1561" w:type="dxa"/>
          </w:tcPr>
          <w:p w14:paraId="6BE549CD">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Isosource 1.5</w:t>
            </w:r>
          </w:p>
        </w:tc>
        <w:tc>
          <w:tcPr>
            <w:tcW w:w="1157" w:type="dxa"/>
          </w:tcPr>
          <w:p w14:paraId="152B3D48">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 xml:space="preserve">Frasco </w:t>
            </w:r>
          </w:p>
          <w:p w14:paraId="3F6D50BA">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highlight w:val="yellow"/>
              </w:rPr>
            </w:pPr>
          </w:p>
        </w:tc>
        <w:tc>
          <w:tcPr>
            <w:tcW w:w="1134" w:type="dxa"/>
          </w:tcPr>
          <w:p w14:paraId="22EB8203">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20</w:t>
            </w:r>
          </w:p>
        </w:tc>
        <w:tc>
          <w:tcPr>
            <w:tcW w:w="709" w:type="dxa"/>
          </w:tcPr>
          <w:p w14:paraId="0F3CDE88">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700</w:t>
            </w:r>
          </w:p>
        </w:tc>
        <w:tc>
          <w:tcPr>
            <w:tcW w:w="992" w:type="dxa"/>
          </w:tcPr>
          <w:p w14:paraId="5D3A519D">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437795</w:t>
            </w:r>
          </w:p>
        </w:tc>
      </w:tr>
      <w:tr w14:paraId="36599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49" w:type="dxa"/>
            <w:vAlign w:val="center"/>
          </w:tcPr>
          <w:p w14:paraId="30C89B82">
            <w:pPr>
              <w:pStyle w:val="221"/>
              <w:pageBreakBefore w:val="0"/>
              <w:widowControl/>
              <w:numPr>
                <w:ilvl w:val="0"/>
                <w:numId w:val="0"/>
              </w:numPr>
              <w:kinsoku/>
              <w:wordWrap/>
              <w:overflowPunct/>
              <w:topLinePunct w:val="0"/>
              <w:bidi w:val="0"/>
              <w:snapToGrid/>
              <w:spacing w:beforeAutospacing="0" w:afterAutospacing="0" w:line="360" w:lineRule="auto"/>
              <w:ind w:leftChars="0" w:right="0" w:rightChars="0"/>
              <w:jc w:val="center"/>
              <w:textAlignment w:val="auto"/>
              <w:rPr>
                <w:rFonts w:hint="default" w:ascii="Arial" w:hAnsi="Arial" w:cs="Arial"/>
                <w:sz w:val="18"/>
                <w:szCs w:val="18"/>
                <w:shd w:val="clear" w:color="auto" w:fill="FFFFFF"/>
                <w:lang w:val="pt-BR"/>
              </w:rPr>
            </w:pPr>
            <w:r>
              <w:rPr>
                <w:rFonts w:hint="default" w:ascii="Arial" w:hAnsi="Arial" w:cs="Arial"/>
                <w:sz w:val="18"/>
                <w:szCs w:val="18"/>
                <w:shd w:val="clear" w:color="auto" w:fill="FFFFFF"/>
                <w:lang w:val="pt-BR"/>
              </w:rPr>
              <w:t>2</w:t>
            </w:r>
          </w:p>
        </w:tc>
        <w:tc>
          <w:tcPr>
            <w:tcW w:w="4497" w:type="dxa"/>
          </w:tcPr>
          <w:p w14:paraId="0402C099">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 xml:space="preserve">Dieta infantil: </w:t>
            </w:r>
            <w:r>
              <w:rPr>
                <w:rFonts w:hint="default" w:ascii="Arial" w:hAnsi="Arial" w:cs="Arial"/>
                <w:sz w:val="18"/>
                <w:szCs w:val="18"/>
                <w:shd w:val="clear" w:color="auto" w:fill="FFFFFF"/>
              </w:rPr>
              <w:t xml:space="preserve">Indicação: 0 a 12 meses, aspecto físico: pó, uso: enteral ou oral, fonte de proteína: ptn hidrolisada soro leite, fonte de carboidrato: maltodextrinae, ou lactose e, ou amido, fonte de lipídios: óleos vegetais, componentes adicionais: vitamina e fibras, características adicionais: isento glúten, sacarose e frutose, adicionais: c, lcpufas, prebióticos/ </w:t>
            </w:r>
            <w:r>
              <w:rPr>
                <w:rFonts w:hint="default" w:ascii="Arial" w:hAnsi="Arial" w:cs="Arial"/>
                <w:sz w:val="18"/>
                <w:szCs w:val="18"/>
              </w:rPr>
              <w:t>Lata 800g;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1561" w:type="dxa"/>
          </w:tcPr>
          <w:p w14:paraId="30A2EB9C">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APTAMIL PEPTI</w:t>
            </w:r>
          </w:p>
        </w:tc>
        <w:tc>
          <w:tcPr>
            <w:tcW w:w="1157" w:type="dxa"/>
          </w:tcPr>
          <w:p w14:paraId="31BEE474">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highlight w:val="yellow"/>
              </w:rPr>
            </w:pPr>
            <w:r>
              <w:rPr>
                <w:rFonts w:hint="default" w:ascii="Arial" w:hAnsi="Arial" w:cs="Arial"/>
                <w:sz w:val="18"/>
                <w:szCs w:val="18"/>
              </w:rPr>
              <w:t xml:space="preserve">Lata </w:t>
            </w:r>
          </w:p>
        </w:tc>
        <w:tc>
          <w:tcPr>
            <w:tcW w:w="1134" w:type="dxa"/>
          </w:tcPr>
          <w:p w14:paraId="4E8AC465">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25</w:t>
            </w:r>
          </w:p>
        </w:tc>
        <w:tc>
          <w:tcPr>
            <w:tcW w:w="709" w:type="dxa"/>
          </w:tcPr>
          <w:p w14:paraId="5649B810">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1200</w:t>
            </w:r>
          </w:p>
        </w:tc>
        <w:tc>
          <w:tcPr>
            <w:tcW w:w="992" w:type="dxa"/>
          </w:tcPr>
          <w:p w14:paraId="353E716C">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435949</w:t>
            </w:r>
          </w:p>
        </w:tc>
      </w:tr>
      <w:tr w14:paraId="2D6D5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49" w:type="dxa"/>
            <w:vAlign w:val="center"/>
          </w:tcPr>
          <w:p w14:paraId="0DAB640A">
            <w:pPr>
              <w:pStyle w:val="221"/>
              <w:pageBreakBefore w:val="0"/>
              <w:widowControl/>
              <w:numPr>
                <w:ilvl w:val="0"/>
                <w:numId w:val="0"/>
              </w:numPr>
              <w:kinsoku/>
              <w:wordWrap/>
              <w:overflowPunct/>
              <w:topLinePunct w:val="0"/>
              <w:bidi w:val="0"/>
              <w:snapToGrid/>
              <w:spacing w:beforeAutospacing="0" w:afterAutospacing="0" w:line="360" w:lineRule="auto"/>
              <w:ind w:leftChars="0" w:right="0" w:rightChars="0"/>
              <w:jc w:val="center"/>
              <w:textAlignment w:val="auto"/>
              <w:rPr>
                <w:rFonts w:hint="default" w:ascii="Arial" w:hAnsi="Arial" w:cs="Arial"/>
                <w:sz w:val="18"/>
                <w:szCs w:val="18"/>
                <w:shd w:val="clear" w:color="auto" w:fill="FFFFFF"/>
                <w:lang w:val="pt-BR"/>
              </w:rPr>
            </w:pPr>
            <w:r>
              <w:rPr>
                <w:rFonts w:hint="default" w:ascii="Arial" w:hAnsi="Arial" w:cs="Arial"/>
                <w:sz w:val="18"/>
                <w:szCs w:val="18"/>
                <w:shd w:val="clear" w:color="auto" w:fill="FFFFFF"/>
                <w:lang w:val="pt-BR"/>
              </w:rPr>
              <w:t>3</w:t>
            </w:r>
          </w:p>
        </w:tc>
        <w:tc>
          <w:tcPr>
            <w:tcW w:w="4497" w:type="dxa"/>
          </w:tcPr>
          <w:p w14:paraId="4B20FD2A">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bCs/>
                <w:sz w:val="18"/>
                <w:szCs w:val="18"/>
                <w:shd w:val="clear" w:color="auto" w:fill="FFFFFF"/>
              </w:rPr>
            </w:pPr>
            <w:r>
              <w:rPr>
                <w:rFonts w:hint="default" w:ascii="Arial" w:hAnsi="Arial" w:cs="Arial"/>
                <w:b/>
                <w:bCs/>
                <w:sz w:val="18"/>
                <w:szCs w:val="18"/>
                <w:shd w:val="clear" w:color="auto" w:fill="FFFFFF"/>
              </w:rPr>
              <w:t xml:space="preserve">Dieta infantil: </w:t>
            </w:r>
            <w:r>
              <w:rPr>
                <w:rFonts w:hint="default" w:ascii="Arial" w:hAnsi="Arial" w:cs="Arial"/>
                <w:sz w:val="18"/>
                <w:szCs w:val="18"/>
                <w:shd w:val="clear" w:color="auto" w:fill="FFFFFF"/>
              </w:rPr>
              <w:t xml:space="preserve">Indicação: 1 a 10 anos de idade. Para pacientes com intolerância gastrintestinal, e/ou com dificuldade na absorção da proteína intacta e que se beneficiam do teor de TCM.   aspecto físico: pó, uso: enteral ou oral, fonte de proteína: ptn hidrolisada soro leite, fonte de carboidrato: maltodextrina e sacarose.  fonte de lipídios: TCM e óleos vegetais, componentes adicionais: vitamina e minerais, características adicionais: isento glúten, lactose/ </w:t>
            </w:r>
            <w:r>
              <w:rPr>
                <w:rFonts w:hint="default" w:ascii="Arial" w:hAnsi="Arial" w:cs="Arial"/>
                <w:sz w:val="18"/>
                <w:szCs w:val="18"/>
              </w:rPr>
              <w:t>Lata 400g;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1561" w:type="dxa"/>
          </w:tcPr>
          <w:p w14:paraId="157FC75B">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Peptamen Júnior</w:t>
            </w:r>
          </w:p>
        </w:tc>
        <w:tc>
          <w:tcPr>
            <w:tcW w:w="1157" w:type="dxa"/>
          </w:tcPr>
          <w:p w14:paraId="3F8B2B77">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Lata</w:t>
            </w:r>
          </w:p>
        </w:tc>
        <w:tc>
          <w:tcPr>
            <w:tcW w:w="1134" w:type="dxa"/>
          </w:tcPr>
          <w:p w14:paraId="5F813459">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15</w:t>
            </w:r>
          </w:p>
        </w:tc>
        <w:tc>
          <w:tcPr>
            <w:tcW w:w="709" w:type="dxa"/>
          </w:tcPr>
          <w:p w14:paraId="59CA2431">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110</w:t>
            </w:r>
          </w:p>
        </w:tc>
        <w:tc>
          <w:tcPr>
            <w:tcW w:w="992" w:type="dxa"/>
          </w:tcPr>
          <w:p w14:paraId="03ACCEF2">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464185</w:t>
            </w:r>
          </w:p>
        </w:tc>
      </w:tr>
      <w:tr w14:paraId="0FA64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49" w:type="dxa"/>
            <w:vAlign w:val="center"/>
          </w:tcPr>
          <w:p w14:paraId="211F1DB2">
            <w:pPr>
              <w:pStyle w:val="221"/>
              <w:pageBreakBefore w:val="0"/>
              <w:widowControl/>
              <w:numPr>
                <w:ilvl w:val="0"/>
                <w:numId w:val="0"/>
              </w:numPr>
              <w:kinsoku/>
              <w:wordWrap/>
              <w:overflowPunct/>
              <w:topLinePunct w:val="0"/>
              <w:bidi w:val="0"/>
              <w:snapToGrid/>
              <w:spacing w:beforeAutospacing="0" w:afterAutospacing="0" w:line="360" w:lineRule="auto"/>
              <w:ind w:leftChars="0" w:right="0" w:rightChars="0"/>
              <w:jc w:val="center"/>
              <w:textAlignment w:val="auto"/>
              <w:rPr>
                <w:rFonts w:hint="default" w:ascii="Arial" w:hAnsi="Arial" w:cs="Arial"/>
                <w:sz w:val="18"/>
                <w:szCs w:val="18"/>
                <w:shd w:val="clear" w:color="auto" w:fill="FFFFFF"/>
                <w:lang w:val="pt-BR"/>
              </w:rPr>
            </w:pPr>
            <w:r>
              <w:rPr>
                <w:rFonts w:hint="default" w:ascii="Arial" w:hAnsi="Arial" w:cs="Arial"/>
                <w:sz w:val="18"/>
                <w:szCs w:val="18"/>
                <w:shd w:val="clear" w:color="auto" w:fill="FFFFFF"/>
                <w:lang w:val="pt-BR"/>
              </w:rPr>
              <w:t>4</w:t>
            </w:r>
          </w:p>
        </w:tc>
        <w:tc>
          <w:tcPr>
            <w:tcW w:w="4497" w:type="dxa"/>
          </w:tcPr>
          <w:p w14:paraId="29BE24D3">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Dieta Infantil:</w:t>
            </w:r>
            <w:r>
              <w:rPr>
                <w:rFonts w:hint="default" w:ascii="Arial" w:hAnsi="Arial" w:cs="Arial"/>
                <w:sz w:val="18"/>
                <w:szCs w:val="18"/>
                <w:shd w:val="clear" w:color="auto" w:fill="FFFFFF"/>
              </w:rPr>
              <w:t xml:space="preserve"> maltodextrina, e frutose, C, Aspecto Físico: pó, uso: enteral e/ou oral, fonte de proteína: Ptn Isolada Soja fonte de carboidrato: fonte de lipídios: óleos vegetais componentes adicionais: vitaminas e minerais características adicionais: isento glúten, adicionais: C/ lecitina soja/ Lata 800g; N</w:t>
            </w:r>
            <w:r>
              <w:rPr>
                <w:rFonts w:hint="default" w:ascii="Arial" w:hAnsi="Arial" w:cs="Arial"/>
                <w:sz w:val="18"/>
                <w:szCs w:val="18"/>
              </w:rPr>
              <w:t>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1561" w:type="dxa"/>
          </w:tcPr>
          <w:p w14:paraId="76E0CA21">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Milnutri Soja</w:t>
            </w:r>
          </w:p>
        </w:tc>
        <w:tc>
          <w:tcPr>
            <w:tcW w:w="1157" w:type="dxa"/>
          </w:tcPr>
          <w:p w14:paraId="1266ABC5">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Lata</w:t>
            </w:r>
          </w:p>
        </w:tc>
        <w:tc>
          <w:tcPr>
            <w:tcW w:w="1134" w:type="dxa"/>
          </w:tcPr>
          <w:p w14:paraId="69905A1A">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20</w:t>
            </w:r>
          </w:p>
        </w:tc>
        <w:tc>
          <w:tcPr>
            <w:tcW w:w="709" w:type="dxa"/>
          </w:tcPr>
          <w:p w14:paraId="4BBAB5B9">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145</w:t>
            </w:r>
          </w:p>
        </w:tc>
        <w:tc>
          <w:tcPr>
            <w:tcW w:w="992" w:type="dxa"/>
          </w:tcPr>
          <w:p w14:paraId="765581E6">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608242</w:t>
            </w:r>
          </w:p>
        </w:tc>
      </w:tr>
    </w:tbl>
    <w:p w14:paraId="75D9EEF3">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
          <w:sz w:val="18"/>
          <w:szCs w:val="18"/>
          <w:lang w:eastAsia="zh-CN"/>
        </w:rPr>
      </w:pPr>
    </w:p>
    <w:p w14:paraId="796B791A">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Descrição dos Requisitos da Contratação</w:t>
      </w:r>
    </w:p>
    <w:p w14:paraId="796EA8D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O suplemento alimentar para lactentes até 6 (seis) meses de idade deverá atender, no que couber, a RDC nº 42/2011 e acima de 6 (seis) meses, no que couber a RDC nº 222/2002, ambas da ANVISA e posteriores alterações. Os suplementos alimentares, leites especiais, para atender prescrições médicas de pacientes em tratamento especiais deverão ser fornecidos dentro das normas dispostas na Resolução nº 39/2013 da ANVISA, no que couber e as boas práticas no armazenamento, transporte e entrega dos produtos no local determinado. Os medicamentos devem ser entregues na embalagem original, em perfeito estado, sem sinais de violação, sem aderência ao produto, umidade, sem inadequação de conteúdo, devidamente identificados, nas condições de temperatura exigida em rótulo, e com o número do registro emitido pela ANVISA. Todos os medicamentos, nacionais ou importados, devem ter constado, nos rótulos e bulas, todas as informações em língua portuguesa. As embalagens devem apresentar o nome do farmacêutico responsável pela fabricação do produto, com o respectivo número do Conselho Regional de Farmácia (CRF). Os números dos lotes devem estar especificados na nota fiscal por quantidade de cada medicamento entregue. A contratada deverá fornecer os produtos com a validade de no mínimo equivalente a 50% do prazo entre a data de fabricação e a data de vencimento. Os materiais deverão ser acondicionados em embalagens apropriadas para armazenamento, fazendo constar a descrição do produto e incluindo: marca, data de fabricação e validade, de acordo com as características individuais de cada produto. 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Caso os produtos sejam entregues em desacordo com os requisitos estabelecidos pela Prefeitura, ou em quantidades inferiores ao estabelecido, a empresa deverá substituí-los ou complementá-los em até 5 (cinco) dias. A licitante vencedora deverá cumprir obrigatoriamente o prazo de Entrega, salvo em caso de alterações solicitadas pela Prefeitura, que deverão ser comunicadas num prazo não inferior a 24 horas antes da respectiva entrega. O transporte e a descarga dos produtos nos locais designados correrão por conta exclusiva das empresas vencedoras, sem qualquer custo adicional solicitado posteriormente.</w:t>
      </w:r>
    </w:p>
    <w:p w14:paraId="44D17012">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p>
    <w:p w14:paraId="3D21A46D">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5DB37127">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Secretaria Municipal de Saúde de Cataguases - MG enfrenta a necessidade urgente de adquirir suplementos alimentares, visando atender adequadamente às demandas judiciais que determinam a provisão desses itens essenciais. A demanda por esses produtos é crescente e precisa ser suprida de maneira contínua para garantir a saúde e o bem-estar dos beneficiários do SUS. A contratação através de um processo licitatório, na modalidade de pregão eletrônico, permitirá não apenas a obtenção dos melhores preços por item, mas também assegurará a transparência e a legalidade do processo, conforme os requisitos estabelecidos pela Lei 14.133/2021. Dessa forma, o registro de preços se apresenta como uma estratégia eficaz para atender às necessidades contínuas da Secretaria, proporcionando maior agilidade e eficiência na aquisição desses insumos críticos, fundamentais para o cumprimento das determinações judiciais e para a manutenção da qualidade dos serviços de saúde oferecidos à população.</w:t>
      </w:r>
    </w:p>
    <w:p w14:paraId="4A3E8E10">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p>
    <w:p w14:paraId="3D002263">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35B0CDF6">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solução proposta para a aquisição de suplementos alimentares visa atender de maneira integral e contínua as determinações judiciais recebidas pela Secretaria Municipal de Saúde de Cataguases - MG. A escolha pela modalidade de pregão eletrônico, com registro de preços, permitirá que os produtos sejam adquiridos conforme a demanda, garantindo agilidade e eficiência no atendimento às necessidades dos usuários do SUS. Além disso, a estratégia de menor preço por item assegura que a compra seja realizada de forma econômica, respeitando o princípio da economicidade e otimizando os recursos públicos. A contratação, conforme estabelecido pela Lei 14.133/2021, possibilitará uma maior competitividade entre os fornecedores, ampliando as opções de aquisição com qualidade e dentro das especificações técnicas exigidas. Dessa maneira, a solução apresentada contempla tanto a conformidade com as exigências legais quanto a eficiência na gestão de recursos e no atendimento das demandas judiciais, garantindo o abastecimento regular e adequado desses insumos essenciais para a saúde da população.</w:t>
      </w:r>
    </w:p>
    <w:p w14:paraId="44AD32DF">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bCs w:val="0"/>
          <w:sz w:val="18"/>
          <w:szCs w:val="18"/>
        </w:rPr>
        <w:t>4.</w:t>
      </w:r>
      <w:r>
        <w:rPr>
          <w:rFonts w:hint="default" w:ascii="Arial" w:hAnsi="Arial" w:cs="Arial"/>
          <w:sz w:val="18"/>
          <w:szCs w:val="18"/>
        </w:rPr>
        <w:t xml:space="preserve"> REQUISITOS DA CONTRATAÇÃO/ SUSTENTABILIDADE </w:t>
      </w:r>
    </w:p>
    <w:p w14:paraId="06717C30">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36A0BA80">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7AAFBE9F">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4.1. SUBCONTRATAÇÃO </w:t>
      </w:r>
    </w:p>
    <w:p w14:paraId="7DB00761">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60E92079">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744953B9">
      <w:pPr>
        <w:pStyle w:val="221"/>
        <w:keepNext/>
        <w:keepLines/>
        <w:pageBreakBefore w:val="0"/>
        <w:widowControl/>
        <w:numPr>
          <w:ilvl w:val="0"/>
          <w:numId w:val="19"/>
        </w:numPr>
        <w:tabs>
          <w:tab w:val="left" w:pos="567"/>
        </w:tabs>
        <w:kinsoku/>
        <w:wordWrap/>
        <w:overflowPunct/>
        <w:topLinePunct w:val="0"/>
        <w:bidi w:val="0"/>
        <w:snapToGrid/>
        <w:spacing w:beforeAutospacing="0" w:afterAutospacing="0" w:line="36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3C3C707E">
      <w:pPr>
        <w:pStyle w:val="221"/>
        <w:keepNext/>
        <w:keepLines/>
        <w:pageBreakBefore w:val="0"/>
        <w:widowControl/>
        <w:numPr>
          <w:ilvl w:val="0"/>
          <w:numId w:val="19"/>
        </w:numPr>
        <w:tabs>
          <w:tab w:val="left" w:pos="567"/>
        </w:tabs>
        <w:kinsoku/>
        <w:wordWrap/>
        <w:overflowPunct/>
        <w:topLinePunct w:val="0"/>
        <w:bidi w:val="0"/>
        <w:snapToGrid/>
        <w:spacing w:beforeAutospacing="0" w:afterAutospacing="0" w:line="36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421EC24E">
      <w:pPr>
        <w:pStyle w:val="221"/>
        <w:pageBreakBefore w:val="0"/>
        <w:widowControl/>
        <w:numPr>
          <w:ilvl w:val="1"/>
          <w:numId w:val="19"/>
        </w:numPr>
        <w:kinsoku/>
        <w:wordWrap/>
        <w:overflowPunct/>
        <w:topLinePunct w:val="0"/>
        <w:bidi w:val="0"/>
        <w:snapToGrid/>
        <w:spacing w:beforeAutospacing="0" w:afterAutospacing="0" w:line="360" w:lineRule="auto"/>
        <w:ind w:left="0" w:leftChars="0" w:right="0" w:firstLine="0" w:firstLineChars="0"/>
        <w:contextualSpacing w:val="0"/>
        <w:jc w:val="both"/>
        <w:textAlignment w:val="auto"/>
        <w:rPr>
          <w:rFonts w:hint="default" w:ascii="Arial" w:hAnsi="Arial" w:cs="Arial" w:eastAsiaTheme="minorEastAsia"/>
          <w:vanish/>
          <w:color w:val="000000"/>
          <w:sz w:val="18"/>
          <w:szCs w:val="18"/>
          <w:lang w:eastAsia="pt-BR"/>
        </w:rPr>
      </w:pPr>
    </w:p>
    <w:p w14:paraId="6D60EE5A">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sz w:val="18"/>
          <w:szCs w:val="18"/>
        </w:rPr>
        <w:t xml:space="preserve"> </w:t>
      </w:r>
      <w:r>
        <w:rPr>
          <w:rFonts w:hint="default" w:ascii="Arial" w:hAnsi="Arial" w:cs="Arial"/>
          <w:b/>
          <w:sz w:val="18"/>
          <w:szCs w:val="18"/>
        </w:rPr>
        <w:t>GARANTIA DA CONTRATAÇÃO</w:t>
      </w:r>
    </w:p>
    <w:p w14:paraId="0E057E73">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de 90 (noventa) dias</w:t>
      </w:r>
      <w:r>
        <w:rPr>
          <w:rFonts w:hint="default" w:ascii="Arial" w:hAnsi="Arial" w:cs="Arial"/>
          <w:sz w:val="18"/>
          <w:szCs w:val="18"/>
        </w:rPr>
        <w:t xml:space="preserve"> para esse objeto. </w:t>
      </w:r>
    </w:p>
    <w:p w14:paraId="6F763291">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55738975">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0FB72730">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justificativa para a aquisição dos suplementos alimentares de marcas específicas baseia-se na necessidade de atender a demandas judiciais que determinam a utilização de produtos específicos para o atendimento adequado dos pacientes. Estas demandas judiciais foram formuladas com base em prescrições médicas que identificam marcas e formulações específicas como essenciais para o tratamento e recuperação dos beneficiários. Portanto, a escolha de marcas específicas não é uma questão de preferência, mas uma exigência para garantir que os produtos atendam às necessidades terapêuticas e nutricionais dos pacientes de forma eficaz. A aceitação de propostas de outros produtos similares poderia comprometer a qualidade do tratamento, uma vez que as características e a eficácia dos suplementos podem variar significativamente entre diferentes marcas. Além disso, a aquisição das marcas indicadas assegura conformidade com as determinações judiciais e evita possíveis contestações legais relacionadas ao atendimento das prescrições médicas. Desta forma, a contratação de suplementos alimentares das marcas específicas é essencial para garantir a legalidade e a eficácia no cumprimento das demandas judiciais, assegurando o atendimento adequado e a qualidade dos cuidados prestados aos pacientes.</w:t>
      </w:r>
    </w:p>
    <w:p w14:paraId="2127D29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p>
    <w:p w14:paraId="4398F115">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3FE3E146">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Se aplica neste caso.</w:t>
      </w:r>
    </w:p>
    <w:p w14:paraId="36BE2DD9">
      <w:pPr>
        <w:pStyle w:val="305"/>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19AA0523">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4716857B">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Se aplica neste caso.</w:t>
      </w:r>
    </w:p>
    <w:p w14:paraId="432CEDB3">
      <w:pPr>
        <w:pStyle w:val="305"/>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04663123">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7F3D5A78">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Para esta aquisição não se faz necessária o prévio envio de amostras. </w:t>
      </w:r>
    </w:p>
    <w:p w14:paraId="1E412CC8">
      <w:pPr>
        <w:pStyle w:val="304"/>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5AD95A43">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3A811F26">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parcelamento dos itens será conforme a demanda e disponibilidade orçamentária.</w:t>
      </w:r>
    </w:p>
    <w:p w14:paraId="073488FF">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4442F3C7">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7BA88B59">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24 (vinte e quatro) horas de antecedência para que qualquer pleito de prorrogação de prazo seja analisado. </w:t>
      </w:r>
    </w:p>
    <w:p w14:paraId="29D170AB">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220D34C1">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29751191">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Materiais deverão ser entregues acompanhados da nota fiscal. </w:t>
      </w:r>
    </w:p>
    <w:p w14:paraId="2A5D1E6D">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6EEF8B2E">
      <w:pPr>
        <w:pStyle w:val="306"/>
        <w:pageBreakBefore w:val="0"/>
        <w:widowControl/>
        <w:numPr>
          <w:ilvl w:val="0"/>
          <w:numId w:val="2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50C3A9EF">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6AF80B75">
      <w:pPr>
        <w:pStyle w:val="306"/>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3EDEC0DF">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364505FA">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2408AC2F">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738D0F36">
      <w:pPr>
        <w:pStyle w:val="306"/>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585D1C9E">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DAS OBRIGAÇÕES DA CONTRATADA </w:t>
      </w:r>
    </w:p>
    <w:p w14:paraId="7EDE0B62">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37E6EE78">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13F5F46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2753094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243776B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2544F46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1E006A3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7818365C">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728692F0">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0F0AD41D">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0DF6A73A">
      <w:pPr>
        <w:pStyle w:val="307"/>
        <w:pageBreakBefore w:val="0"/>
        <w:widowControl/>
        <w:numPr>
          <w:ilvl w:val="0"/>
          <w:numId w:val="0"/>
        </w:numPr>
        <w:suppressAutoHyphen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183FE908">
      <w:pPr>
        <w:pStyle w:val="307"/>
        <w:pageBreakBefore w:val="0"/>
        <w:widowControl/>
        <w:numPr>
          <w:ilvl w:val="0"/>
          <w:numId w:val="0"/>
        </w:numPr>
        <w:suppressAutoHyphen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4D6DDA28">
      <w:pPr>
        <w:pStyle w:val="307"/>
        <w:pageBreakBefore w:val="0"/>
        <w:widowControl/>
        <w:numPr>
          <w:ilvl w:val="0"/>
          <w:numId w:val="0"/>
        </w:numPr>
        <w:suppressAutoHyphen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10690F9D">
      <w:pPr>
        <w:pStyle w:val="307"/>
        <w:pageBreakBefore w:val="0"/>
        <w:widowControl/>
        <w:numPr>
          <w:ilvl w:val="0"/>
          <w:numId w:val="0"/>
        </w:numPr>
        <w:suppressAutoHyphens/>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251D7D91">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2192CEEB">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3C5E854A">
      <w:pPr>
        <w:pStyle w:val="221"/>
        <w:pageBreakBefore w:val="0"/>
        <w:widowControl/>
        <w:numPr>
          <w:ilvl w:val="0"/>
          <w:numId w:val="21"/>
        </w:numPr>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eastAsiaTheme="majorEastAsia"/>
          <w:sz w:val="18"/>
          <w:szCs w:val="18"/>
        </w:rPr>
      </w:pPr>
      <w:r>
        <w:rPr>
          <w:rFonts w:hint="default" w:ascii="Arial" w:hAnsi="Arial" w:cs="Arial" w:eastAsiaTheme="majorEastAsia"/>
          <w:sz w:val="18"/>
          <w:szCs w:val="18"/>
        </w:rPr>
        <w:t>Lais Aparecida de Resende Rodrigues Beto.</w:t>
      </w:r>
    </w:p>
    <w:p w14:paraId="7E387A50">
      <w:pPr>
        <w:pStyle w:val="221"/>
        <w:pageBreakBefore w:val="0"/>
        <w:widowControl/>
        <w:numPr>
          <w:ilvl w:val="0"/>
          <w:numId w:val="0"/>
        </w:numPr>
        <w:kinsoku/>
        <w:wordWrap/>
        <w:overflowPunct/>
        <w:topLinePunct w:val="0"/>
        <w:bidi w:val="0"/>
        <w:snapToGrid/>
        <w:spacing w:beforeAutospacing="0" w:afterAutospacing="0" w:line="240" w:lineRule="auto"/>
        <w:ind w:leftChars="0" w:right="0" w:rightChars="0"/>
        <w:jc w:val="both"/>
        <w:textAlignment w:val="auto"/>
        <w:rPr>
          <w:rFonts w:hint="default" w:ascii="Arial" w:hAnsi="Arial" w:cs="Arial" w:eastAsiaTheme="majorEastAsia"/>
          <w:sz w:val="18"/>
          <w:szCs w:val="18"/>
        </w:rPr>
      </w:pPr>
    </w:p>
    <w:p w14:paraId="457AA4C6">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489AA7DD">
      <w:pPr>
        <w:pageBreakBefore w:val="0"/>
        <w:widowControl/>
        <w:kinsoku/>
        <w:wordWrap/>
        <w:overflowPunct/>
        <w:topLinePunct w:val="0"/>
        <w:bidi w:val="0"/>
        <w:snapToGrid/>
        <w:spacing w:beforeAutospacing="0" w:afterAutospacing="0"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7F6F406A">
      <w:pPr>
        <w:pStyle w:val="221"/>
        <w:pageBreakBefore w:val="0"/>
        <w:widowControl/>
        <w:numPr>
          <w:ilvl w:val="0"/>
          <w:numId w:val="21"/>
        </w:numPr>
        <w:kinsoku/>
        <w:wordWrap/>
        <w:overflowPunct/>
        <w:topLinePunct w:val="0"/>
        <w:bidi w:val="0"/>
        <w:snapToGrid/>
        <w:spacing w:beforeAutospacing="0" w:afterAutospacing="0"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3462C5D5">
      <w:pPr>
        <w:pStyle w:val="221"/>
        <w:pageBreakBefore w:val="0"/>
        <w:widowControl/>
        <w:numPr>
          <w:ilvl w:val="0"/>
          <w:numId w:val="0"/>
        </w:numPr>
        <w:kinsoku/>
        <w:wordWrap/>
        <w:overflowPunct/>
        <w:topLinePunct w:val="0"/>
        <w:bidi w:val="0"/>
        <w:snapToGrid/>
        <w:spacing w:beforeAutospacing="0" w:afterAutospacing="0" w:line="240" w:lineRule="auto"/>
        <w:ind w:leftChars="0" w:right="0" w:rightChars="0"/>
        <w:textAlignment w:val="auto"/>
        <w:rPr>
          <w:rFonts w:hint="default" w:ascii="Arial" w:hAnsi="Arial" w:cs="Arial"/>
          <w:sz w:val="18"/>
          <w:szCs w:val="18"/>
          <w:lang w:eastAsia="pt-BR"/>
        </w:rPr>
      </w:pPr>
    </w:p>
    <w:p w14:paraId="7847ECCE">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3F56ED39">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170AAB5B">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6F0AE661">
      <w:pPr>
        <w:pStyle w:val="279"/>
        <w:pageBreakBefore w:val="0"/>
        <w:widowControl/>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04B2A23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5828303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385DF2E0">
      <w:pPr>
        <w:pStyle w:val="279"/>
        <w:pageBreakBefore w:val="0"/>
        <w:widowControl/>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43BB72F1">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40A9840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5D583C47">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14.</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51CD1B79">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75697F9B">
      <w:pPr>
        <w:spacing w:line="240" w:lineRule="auto"/>
        <w:rPr>
          <w:rFonts w:hint="default"/>
          <w:sz w:val="18"/>
          <w:szCs w:val="18"/>
        </w:rPr>
      </w:pPr>
    </w:p>
    <w:p w14:paraId="06A0681D">
      <w:pPr>
        <w:pStyle w:val="221"/>
        <w:keepNext/>
        <w:keepLines/>
        <w:pageBreakBefore w:val="0"/>
        <w:widowControl/>
        <w:numPr>
          <w:ilvl w:val="0"/>
          <w:numId w:val="22"/>
        </w:numPr>
        <w:tabs>
          <w:tab w:val="left" w:pos="567"/>
        </w:tabs>
        <w:kinsoku/>
        <w:wordWrap/>
        <w:overflowPunct/>
        <w:topLinePunct w:val="0"/>
        <w:bidi w:val="0"/>
        <w:snapToGrid/>
        <w:spacing w:beforeAutospacing="0" w:afterAutospacing="0" w:line="36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4A6EAC40">
      <w:pPr>
        <w:pStyle w:val="279"/>
        <w:pageBreakBefore w:val="0"/>
        <w:widowControl/>
        <w:numPr>
          <w:ilvl w:val="0"/>
          <w:numId w:val="22"/>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4C70A50A">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232E416E">
      <w:pPr>
        <w:pStyle w:val="306"/>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56C3BFE4">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3E9CACD7">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67478374">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4FC9DF2B">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08087F9A">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val="pt-BR" w:eastAsia="zh-CN"/>
        </w:rPr>
      </w:pP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Deverão ainda ser apresentadas Licença Sanitária expedida pelo órgão competente local, em plena vigência; Autorização de Funcionamento de Empresa (AFE) expedida pela Agência Nacional de Vigilância Sanitária (ANVISA), devidamente atualizada, </w:t>
      </w:r>
      <w:r>
        <w:rPr>
          <w:rFonts w:hint="default" w:ascii="Arial" w:hAnsi="Arial" w:eastAsia="LiberationSerif-Bold" w:cs="Arial"/>
          <w:bCs/>
          <w:sz w:val="18"/>
          <w:szCs w:val="18"/>
          <w:lang w:val="pt-BR" w:eastAsia="zh-CN"/>
        </w:rPr>
        <w:t>salvo em casos de fornecedores que possuem documentação comprobatória de isenção de Autorização de Funcionamento de Empresa AFE.</w:t>
      </w:r>
    </w:p>
    <w:p w14:paraId="3B34101B">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val="pt-BR" w:eastAsia="zh-CN"/>
        </w:rPr>
      </w:pPr>
    </w:p>
    <w:p w14:paraId="658892D9">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7FAB9539">
      <w:pPr>
        <w:pStyle w:val="304"/>
        <w:pageBreakBefore w:val="0"/>
        <w:widowControl/>
        <w:numPr>
          <w:ilvl w:val="0"/>
          <w:numId w:val="0"/>
        </w:numPr>
        <w:tabs>
          <w:tab w:val="left" w:pos="284"/>
        </w:tab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cs="Arial"/>
          <w:sz w:val="18"/>
          <w:szCs w:val="18"/>
        </w:rPr>
        <w:t xml:space="preserve">O custo total estimado para a referida aquisição é de </w:t>
      </w:r>
      <w:r>
        <w:rPr>
          <w:rFonts w:hint="default" w:ascii="Arial" w:hAnsi="Arial" w:eastAsia="LiberationSerif-Bold" w:cs="Arial"/>
          <w:bCs/>
          <w:sz w:val="18"/>
          <w:szCs w:val="18"/>
          <w:lang w:eastAsia="zh-CN"/>
        </w:rPr>
        <w:t>R$ 315.311,45 (trezentos e quinze mil e trezentos e onze reais e quarenta e cinco centavos).</w:t>
      </w:r>
    </w:p>
    <w:p w14:paraId="2580DA72">
      <w:pPr>
        <w:pStyle w:val="304"/>
        <w:pageBreakBefore w:val="0"/>
        <w:widowControl/>
        <w:numPr>
          <w:ilvl w:val="0"/>
          <w:numId w:val="0"/>
        </w:numPr>
        <w:tabs>
          <w:tab w:val="left" w:pos="284"/>
        </w:tab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eastAsia="LiberationSerif-Bold" w:cs="Arial"/>
          <w:bCs/>
          <w:sz w:val="18"/>
          <w:szCs w:val="18"/>
          <w:lang w:eastAsia="zh-CN"/>
        </w:rPr>
      </w:pPr>
    </w:p>
    <w:p w14:paraId="7E907BE2">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69A72825">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140B959E">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12038DD4">
      <w:pPr>
        <w:pageBreakBefore w:val="0"/>
        <w:widowControl/>
        <w:kinsoku/>
        <w:wordWrap/>
        <w:overflowPunct/>
        <w:topLinePunct w:val="0"/>
        <w:bidi w:val="0"/>
        <w:snapToGrid/>
        <w:spacing w:beforeAutospacing="0" w:afterAutospacing="0" w:line="360" w:lineRule="auto"/>
        <w:ind w:left="0" w:leftChars="0" w:right="0" w:firstLine="0" w:firstLineChars="0"/>
        <w:textAlignment w:val="auto"/>
        <w:rPr>
          <w:rFonts w:hint="default" w:ascii="Arial" w:hAnsi="Arial" w:cs="Arial"/>
          <w:sz w:val="18"/>
          <w:szCs w:val="18"/>
          <w:lang w:eastAsia="pt-BR"/>
        </w:rPr>
      </w:pPr>
    </w:p>
    <w:p w14:paraId="251B1B4B">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02.08 – SECRETARIA DE SAÚDE </w:t>
      </w:r>
    </w:p>
    <w:p w14:paraId="4AD76742">
      <w:pPr>
        <w:pStyle w:val="22"/>
        <w:pageBreakBefore w:val="0"/>
        <w:widowControl/>
        <w:shd w:val="clear" w:color="auto" w:fill="FFFFFF"/>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color w:val="222222"/>
          <w:sz w:val="18"/>
          <w:szCs w:val="18"/>
        </w:rPr>
      </w:pPr>
      <w:r>
        <w:rPr>
          <w:rFonts w:hint="default" w:ascii="Arial" w:hAnsi="Arial" w:cs="Arial"/>
          <w:sz w:val="18"/>
          <w:szCs w:val="18"/>
        </w:rPr>
        <w:t>10.122.0000.0.008 – Cumprimento de Sentenças Judiciais na Área da Saúde</w:t>
      </w:r>
    </w:p>
    <w:p w14:paraId="75A8573A">
      <w:pPr>
        <w:pStyle w:val="22"/>
        <w:pageBreakBefore w:val="0"/>
        <w:widowControl/>
        <w:shd w:val="clear" w:color="auto" w:fill="FFFFFF"/>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color w:val="222222"/>
          <w:sz w:val="18"/>
          <w:szCs w:val="18"/>
          <w:lang w:val="pt-PT"/>
        </w:rPr>
      </w:pPr>
      <w:r>
        <w:rPr>
          <w:rFonts w:hint="default" w:ascii="Arial" w:hAnsi="Arial" w:cs="Arial"/>
          <w:sz w:val="18"/>
          <w:szCs w:val="18"/>
        </w:rPr>
        <w:t>3.3.90.91.00.00.00.00 01.0500 – Sentenças Judiciais</w:t>
      </w:r>
      <w:r>
        <w:rPr>
          <w:rFonts w:hint="default" w:ascii="Arial" w:hAnsi="Arial" w:cs="Arial"/>
          <w:color w:val="222222"/>
          <w:sz w:val="18"/>
          <w:szCs w:val="18"/>
          <w:lang w:val="pt-PT"/>
        </w:rPr>
        <w:t> (Ficha 488)</w:t>
      </w:r>
    </w:p>
    <w:tbl>
      <w:tblPr>
        <w:tblStyle w:val="5"/>
        <w:tblW w:w="0" w:type="auto"/>
        <w:jc w:val="center"/>
        <w:tblLayout w:type="autofit"/>
        <w:tblCellMar>
          <w:top w:w="0" w:type="dxa"/>
          <w:left w:w="108" w:type="dxa"/>
          <w:bottom w:w="0" w:type="dxa"/>
          <w:right w:w="108" w:type="dxa"/>
        </w:tblCellMar>
      </w:tblPr>
      <w:tblGrid>
        <w:gridCol w:w="4653"/>
        <w:gridCol w:w="4634"/>
      </w:tblGrid>
      <w:tr w14:paraId="488EE7CD">
        <w:tblPrEx>
          <w:tblCellMar>
            <w:top w:w="0" w:type="dxa"/>
            <w:left w:w="108" w:type="dxa"/>
            <w:bottom w:w="0" w:type="dxa"/>
            <w:right w:w="108" w:type="dxa"/>
          </w:tblCellMar>
        </w:tblPrEx>
        <w:trPr>
          <w:jc w:val="center"/>
        </w:trPr>
        <w:tc>
          <w:tcPr>
            <w:tcW w:w="4653" w:type="dxa"/>
          </w:tcPr>
          <w:p w14:paraId="471CF2D2">
            <w:pPr>
              <w:spacing w:after="0" w:line="240" w:lineRule="auto"/>
              <w:rPr>
                <w:rFonts w:ascii="Arial" w:hAnsi="Arial" w:cs="Arial"/>
                <w:sz w:val="18"/>
                <w:szCs w:val="18"/>
              </w:rPr>
            </w:pPr>
          </w:p>
          <w:p w14:paraId="146E4514">
            <w:pPr>
              <w:spacing w:after="0" w:line="240" w:lineRule="auto"/>
              <w:jc w:val="center"/>
              <w:rPr>
                <w:rFonts w:ascii="Arial" w:hAnsi="Arial" w:cs="Arial"/>
                <w:sz w:val="18"/>
                <w:szCs w:val="18"/>
              </w:rPr>
            </w:pPr>
            <w:r>
              <w:rPr>
                <w:rFonts w:ascii="Arial" w:hAnsi="Arial" w:cs="Arial"/>
                <w:sz w:val="18"/>
                <w:szCs w:val="18"/>
              </w:rPr>
              <w:t>__________________________________</w:t>
            </w:r>
          </w:p>
        </w:tc>
        <w:tc>
          <w:tcPr>
            <w:tcW w:w="4634" w:type="dxa"/>
          </w:tcPr>
          <w:p w14:paraId="15F71F6B">
            <w:pPr>
              <w:spacing w:after="0" w:line="276" w:lineRule="auto"/>
              <w:rPr>
                <w:rFonts w:ascii="Arial" w:hAnsi="Arial" w:cs="Arial"/>
                <w:sz w:val="18"/>
                <w:szCs w:val="18"/>
              </w:rPr>
            </w:pPr>
          </w:p>
          <w:p w14:paraId="6C37BA3D">
            <w:pPr>
              <w:spacing w:after="0" w:line="276" w:lineRule="auto"/>
              <w:rPr>
                <w:rFonts w:ascii="Arial" w:hAnsi="Arial" w:cs="Arial"/>
                <w:sz w:val="18"/>
                <w:szCs w:val="18"/>
              </w:rPr>
            </w:pPr>
            <w:r>
              <w:rPr>
                <w:rFonts w:ascii="Arial" w:hAnsi="Arial" w:cs="Arial"/>
                <w:sz w:val="18"/>
                <w:szCs w:val="18"/>
              </w:rPr>
              <w:t xml:space="preserve">               _________________________</w:t>
            </w:r>
          </w:p>
        </w:tc>
      </w:tr>
      <w:tr w14:paraId="69077301">
        <w:tblPrEx>
          <w:tblCellMar>
            <w:top w:w="0" w:type="dxa"/>
            <w:left w:w="108" w:type="dxa"/>
            <w:bottom w:w="0" w:type="dxa"/>
            <w:right w:w="108" w:type="dxa"/>
          </w:tblCellMar>
        </w:tblPrEx>
        <w:trPr>
          <w:jc w:val="center"/>
        </w:trPr>
        <w:tc>
          <w:tcPr>
            <w:tcW w:w="4653" w:type="dxa"/>
          </w:tcPr>
          <w:p w14:paraId="3E402A3B">
            <w:pPr>
              <w:spacing w:after="0" w:line="276" w:lineRule="auto"/>
              <w:jc w:val="center"/>
              <w:rPr>
                <w:rFonts w:ascii="Arial" w:hAnsi="Arial" w:cs="Arial"/>
                <w:sz w:val="18"/>
                <w:szCs w:val="18"/>
              </w:rPr>
            </w:pPr>
            <w:r>
              <w:rPr>
                <w:rFonts w:ascii="Arial" w:hAnsi="Arial" w:cs="Arial"/>
                <w:sz w:val="18"/>
                <w:szCs w:val="18"/>
              </w:rPr>
              <w:t>Vinicius Franzoni Barbosa Ferreira</w:t>
            </w:r>
          </w:p>
        </w:tc>
        <w:tc>
          <w:tcPr>
            <w:tcW w:w="4634" w:type="dxa"/>
          </w:tcPr>
          <w:p w14:paraId="14806D5F">
            <w:pPr>
              <w:spacing w:after="0" w:line="276" w:lineRule="auto"/>
              <w:rPr>
                <w:rFonts w:ascii="Arial" w:hAnsi="Arial" w:cs="Arial"/>
                <w:sz w:val="18"/>
                <w:szCs w:val="18"/>
              </w:rPr>
            </w:pPr>
            <w:r>
              <w:rPr>
                <w:rFonts w:ascii="Arial" w:hAnsi="Arial" w:cs="Arial"/>
                <w:sz w:val="18"/>
                <w:szCs w:val="18"/>
              </w:rPr>
              <w:t xml:space="preserve">                      Flávia de Souza Werneck</w:t>
            </w:r>
          </w:p>
        </w:tc>
      </w:tr>
      <w:tr w14:paraId="04D55977">
        <w:tblPrEx>
          <w:tblCellMar>
            <w:top w:w="0" w:type="dxa"/>
            <w:left w:w="108" w:type="dxa"/>
            <w:bottom w:w="0" w:type="dxa"/>
            <w:right w:w="108" w:type="dxa"/>
          </w:tblCellMar>
        </w:tblPrEx>
        <w:trPr>
          <w:jc w:val="center"/>
        </w:trPr>
        <w:tc>
          <w:tcPr>
            <w:tcW w:w="4653" w:type="dxa"/>
          </w:tcPr>
          <w:p w14:paraId="1654BF63">
            <w:pPr>
              <w:spacing w:after="0" w:line="276" w:lineRule="auto"/>
              <w:jc w:val="center"/>
              <w:rPr>
                <w:rFonts w:ascii="Arial" w:hAnsi="Arial" w:cs="Arial"/>
                <w:sz w:val="18"/>
                <w:szCs w:val="18"/>
              </w:rPr>
            </w:pPr>
            <w:r>
              <w:rPr>
                <w:rFonts w:ascii="Arial" w:hAnsi="Arial" w:cs="Arial"/>
                <w:b/>
                <w:sz w:val="18"/>
                <w:szCs w:val="18"/>
              </w:rPr>
              <w:t>Secretário Municipal de Saúde</w:t>
            </w:r>
          </w:p>
        </w:tc>
        <w:tc>
          <w:tcPr>
            <w:tcW w:w="4634" w:type="dxa"/>
          </w:tcPr>
          <w:p w14:paraId="05C8DD91">
            <w:pPr>
              <w:spacing w:after="0" w:line="276" w:lineRule="auto"/>
              <w:jc w:val="center"/>
              <w:rPr>
                <w:rFonts w:ascii="Arial" w:hAnsi="Arial" w:cs="Arial" w:eastAsiaTheme="majorEastAsia"/>
                <w:b/>
                <w:bCs/>
                <w:sz w:val="18"/>
                <w:szCs w:val="18"/>
                <w:lang w:eastAsia="pt-BR"/>
              </w:rPr>
            </w:pPr>
            <w:r>
              <w:rPr>
                <w:rFonts w:ascii="Arial" w:hAnsi="Arial" w:cs="Arial" w:eastAsiaTheme="majorEastAsia"/>
                <w:b/>
                <w:bCs/>
                <w:sz w:val="18"/>
                <w:szCs w:val="18"/>
                <w:lang w:eastAsia="pt-BR"/>
              </w:rPr>
              <w:t>Elaboração do Termo de Referência</w:t>
            </w:r>
          </w:p>
          <w:p w14:paraId="600E1106">
            <w:pPr>
              <w:spacing w:after="0" w:line="276" w:lineRule="auto"/>
              <w:jc w:val="center"/>
              <w:rPr>
                <w:rFonts w:ascii="Arial" w:hAnsi="Arial" w:cs="Arial"/>
                <w:sz w:val="18"/>
                <w:szCs w:val="18"/>
              </w:rPr>
            </w:pPr>
          </w:p>
          <w:p w14:paraId="4D3AF992">
            <w:pPr>
              <w:spacing w:after="0" w:line="276" w:lineRule="auto"/>
              <w:rPr>
                <w:rFonts w:ascii="Arial" w:hAnsi="Arial" w:cs="Arial"/>
                <w:sz w:val="18"/>
                <w:szCs w:val="18"/>
              </w:rPr>
            </w:pPr>
          </w:p>
          <w:p w14:paraId="703EDF18">
            <w:pPr>
              <w:spacing w:after="0" w:line="276" w:lineRule="auto"/>
              <w:jc w:val="center"/>
              <w:rPr>
                <w:rFonts w:ascii="Arial" w:hAnsi="Arial" w:cs="Arial"/>
                <w:sz w:val="18"/>
                <w:szCs w:val="18"/>
              </w:rPr>
            </w:pPr>
          </w:p>
          <w:p w14:paraId="5A7A5E4A">
            <w:pPr>
              <w:spacing w:after="0" w:line="276" w:lineRule="auto"/>
              <w:jc w:val="center"/>
              <w:rPr>
                <w:rFonts w:ascii="Arial" w:hAnsi="Arial" w:cs="Arial"/>
                <w:sz w:val="18"/>
                <w:szCs w:val="18"/>
              </w:rPr>
            </w:pPr>
          </w:p>
          <w:p w14:paraId="0E959139">
            <w:pPr>
              <w:spacing w:after="0" w:line="276" w:lineRule="auto"/>
              <w:jc w:val="center"/>
              <w:rPr>
                <w:rFonts w:ascii="Arial" w:hAnsi="Arial" w:cs="Arial"/>
                <w:sz w:val="18"/>
                <w:szCs w:val="18"/>
              </w:rPr>
            </w:pPr>
          </w:p>
          <w:p w14:paraId="689BEA8A">
            <w:pPr>
              <w:spacing w:after="0" w:line="276" w:lineRule="auto"/>
              <w:jc w:val="center"/>
              <w:rPr>
                <w:rFonts w:ascii="Arial" w:hAnsi="Arial" w:cs="Arial"/>
                <w:sz w:val="18"/>
                <w:szCs w:val="18"/>
              </w:rPr>
            </w:pPr>
          </w:p>
        </w:tc>
      </w:tr>
      <w:tr w14:paraId="5AC56951">
        <w:tblPrEx>
          <w:tblCellMar>
            <w:top w:w="0" w:type="dxa"/>
            <w:left w:w="108" w:type="dxa"/>
            <w:bottom w:w="0" w:type="dxa"/>
            <w:right w:w="108" w:type="dxa"/>
          </w:tblCellMar>
        </w:tblPrEx>
        <w:trPr>
          <w:jc w:val="center"/>
        </w:trPr>
        <w:tc>
          <w:tcPr>
            <w:tcW w:w="4653" w:type="dxa"/>
          </w:tcPr>
          <w:p w14:paraId="6AFF2417">
            <w:pPr>
              <w:spacing w:after="0" w:line="240" w:lineRule="auto"/>
              <w:jc w:val="center"/>
              <w:rPr>
                <w:rFonts w:ascii="Arial" w:hAnsi="Arial" w:cs="Arial"/>
                <w:sz w:val="18"/>
                <w:szCs w:val="18"/>
              </w:rPr>
            </w:pPr>
            <w:r>
              <w:rPr>
                <w:rFonts w:ascii="Arial" w:hAnsi="Arial" w:cs="Arial"/>
                <w:sz w:val="18"/>
                <w:szCs w:val="18"/>
              </w:rPr>
              <w:t>__________________________________</w:t>
            </w:r>
          </w:p>
        </w:tc>
        <w:tc>
          <w:tcPr>
            <w:tcW w:w="4634" w:type="dxa"/>
          </w:tcPr>
          <w:p w14:paraId="2D4D0B37">
            <w:pPr>
              <w:spacing w:after="0" w:line="240" w:lineRule="auto"/>
              <w:jc w:val="center"/>
              <w:rPr>
                <w:rFonts w:ascii="Arial" w:hAnsi="Arial" w:cs="Arial"/>
                <w:sz w:val="18"/>
                <w:szCs w:val="18"/>
              </w:rPr>
            </w:pPr>
            <w:r>
              <w:rPr>
                <w:rFonts w:ascii="Arial" w:hAnsi="Arial" w:cs="Arial"/>
                <w:sz w:val="18"/>
                <w:szCs w:val="18"/>
              </w:rPr>
              <w:t>_________________________________</w:t>
            </w:r>
          </w:p>
        </w:tc>
      </w:tr>
      <w:tr w14:paraId="62FE3674">
        <w:tblPrEx>
          <w:tblCellMar>
            <w:top w:w="0" w:type="dxa"/>
            <w:left w:w="108" w:type="dxa"/>
            <w:bottom w:w="0" w:type="dxa"/>
            <w:right w:w="108" w:type="dxa"/>
          </w:tblCellMar>
        </w:tblPrEx>
        <w:trPr>
          <w:jc w:val="center"/>
        </w:trPr>
        <w:tc>
          <w:tcPr>
            <w:tcW w:w="4653" w:type="dxa"/>
          </w:tcPr>
          <w:p w14:paraId="078B8A4D">
            <w:pPr>
              <w:spacing w:after="0" w:line="276" w:lineRule="auto"/>
              <w:jc w:val="center"/>
              <w:rPr>
                <w:rFonts w:ascii="Arial" w:hAnsi="Arial" w:cs="Arial"/>
                <w:sz w:val="18"/>
                <w:szCs w:val="18"/>
              </w:rPr>
            </w:pPr>
            <w:r>
              <w:rPr>
                <w:rFonts w:ascii="Arial" w:hAnsi="Arial" w:cs="Arial"/>
                <w:sz w:val="18"/>
                <w:szCs w:val="18"/>
              </w:rPr>
              <w:t>Lucas Estevão Almeida</w:t>
            </w:r>
          </w:p>
          <w:p w14:paraId="49A076C4">
            <w:pPr>
              <w:spacing w:after="0" w:line="276" w:lineRule="auto"/>
              <w:jc w:val="center"/>
              <w:rPr>
                <w:rFonts w:ascii="Arial" w:hAnsi="Arial" w:cs="Arial"/>
                <w:b/>
                <w:sz w:val="18"/>
                <w:szCs w:val="18"/>
              </w:rPr>
            </w:pPr>
            <w:r>
              <w:rPr>
                <w:rFonts w:ascii="Arial" w:hAnsi="Arial" w:cs="Arial"/>
                <w:b/>
                <w:sz w:val="18"/>
                <w:szCs w:val="18"/>
              </w:rPr>
              <w:t>Cotação de Preços</w:t>
            </w:r>
          </w:p>
        </w:tc>
        <w:tc>
          <w:tcPr>
            <w:tcW w:w="4634" w:type="dxa"/>
          </w:tcPr>
          <w:p w14:paraId="7842655E">
            <w:pPr>
              <w:spacing w:after="0" w:line="240" w:lineRule="auto"/>
              <w:jc w:val="center"/>
              <w:rPr>
                <w:rFonts w:ascii="Arial" w:hAnsi="Arial" w:cs="Arial" w:eastAsiaTheme="majorEastAsia"/>
                <w:sz w:val="18"/>
                <w:szCs w:val="18"/>
              </w:rPr>
            </w:pPr>
            <w:r>
              <w:rPr>
                <w:rFonts w:ascii="Arial" w:hAnsi="Arial" w:cs="Arial" w:eastAsiaTheme="majorEastAsia"/>
                <w:sz w:val="18"/>
                <w:szCs w:val="18"/>
              </w:rPr>
              <w:t>Lais Aparecida de Resende Rodrigues Beto</w:t>
            </w:r>
          </w:p>
          <w:p w14:paraId="773DB694">
            <w:pPr>
              <w:spacing w:after="0" w:line="276" w:lineRule="auto"/>
              <w:jc w:val="center"/>
              <w:rPr>
                <w:rFonts w:ascii="Arial" w:hAnsi="Arial" w:cs="Arial"/>
                <w:sz w:val="18"/>
                <w:szCs w:val="18"/>
              </w:rPr>
            </w:pPr>
            <w:r>
              <w:rPr>
                <w:rFonts w:ascii="Arial" w:hAnsi="Arial" w:cs="Arial" w:eastAsiaTheme="majorEastAsia"/>
                <w:b/>
                <w:bCs/>
                <w:sz w:val="18"/>
                <w:szCs w:val="18"/>
                <w:lang w:eastAsia="pt-BR"/>
              </w:rPr>
              <w:t>Fiscalização de Contrato</w:t>
            </w:r>
          </w:p>
        </w:tc>
      </w:tr>
      <w:tr w14:paraId="681918D1">
        <w:tblPrEx>
          <w:tblCellMar>
            <w:top w:w="0" w:type="dxa"/>
            <w:left w:w="108" w:type="dxa"/>
            <w:bottom w:w="0" w:type="dxa"/>
            <w:right w:w="108" w:type="dxa"/>
          </w:tblCellMar>
        </w:tblPrEx>
        <w:trPr>
          <w:jc w:val="center"/>
        </w:trPr>
        <w:tc>
          <w:tcPr>
            <w:tcW w:w="4653" w:type="dxa"/>
          </w:tcPr>
          <w:p w14:paraId="58201C45">
            <w:pPr>
              <w:spacing w:after="0" w:line="276" w:lineRule="auto"/>
              <w:rPr>
                <w:rFonts w:ascii="Arial" w:hAnsi="Arial" w:cs="Arial"/>
                <w:sz w:val="18"/>
                <w:szCs w:val="18"/>
              </w:rPr>
            </w:pPr>
          </w:p>
        </w:tc>
        <w:tc>
          <w:tcPr>
            <w:tcW w:w="4634" w:type="dxa"/>
          </w:tcPr>
          <w:p w14:paraId="7A29CD5C">
            <w:pPr>
              <w:spacing w:after="0" w:line="276" w:lineRule="auto"/>
              <w:jc w:val="center"/>
              <w:rPr>
                <w:rFonts w:ascii="Arial" w:hAnsi="Arial" w:cs="Arial"/>
                <w:sz w:val="18"/>
                <w:szCs w:val="18"/>
              </w:rPr>
            </w:pPr>
          </w:p>
        </w:tc>
      </w:tr>
    </w:tbl>
    <w:p w14:paraId="687F00E9">
      <w:pPr>
        <w:pageBreakBefore w:val="0"/>
        <w:widowControl/>
        <w:kinsoku/>
        <w:wordWrap/>
        <w:overflowPunct/>
        <w:topLinePunct w:val="0"/>
        <w:autoSpaceDE w:val="0"/>
        <w:autoSpaceDN w:val="0"/>
        <w:bidi w:val="0"/>
        <w:adjustRightInd w:val="0"/>
        <w:snapToGrid/>
        <w:spacing w:beforeAutospacing="0" w:afterAutospacing="0" w:line="360" w:lineRule="auto"/>
        <w:ind w:left="0" w:leftChars="0" w:right="0" w:firstLine="0" w:firstLineChars="0"/>
        <w:jc w:val="both"/>
        <w:textAlignment w:val="auto"/>
        <w:rPr>
          <w:rFonts w:hint="default" w:ascii="Arial" w:hAnsi="Arial" w:cs="Arial"/>
          <w:b/>
          <w:sz w:val="18"/>
          <w:szCs w:val="18"/>
        </w:rPr>
      </w:pPr>
    </w:p>
    <w:p w14:paraId="03739CF2">
      <w:pPr>
        <w:pageBreakBefore w:val="0"/>
        <w:widowControl/>
        <w:kinsoku/>
        <w:wordWrap/>
        <w:overflowPunct/>
        <w:topLinePunct w:val="0"/>
        <w:autoSpaceDE w:val="0"/>
        <w:autoSpaceDN w:val="0"/>
        <w:bidi w:val="0"/>
        <w:adjustRightInd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p>
    <w:p w14:paraId="0E273DE7">
      <w:pPr>
        <w:pageBreakBefore w:val="0"/>
        <w:widowControl/>
        <w:kinsoku/>
        <w:wordWrap/>
        <w:overflowPunct/>
        <w:topLinePunct w:val="0"/>
        <w:autoSpaceDE w:val="0"/>
        <w:autoSpaceDN w:val="0"/>
        <w:bidi w:val="0"/>
        <w:adjustRightInd w:val="0"/>
        <w:snapToGrid/>
        <w:spacing w:beforeAutospacing="0" w:afterAutospacing="0" w:line="360" w:lineRule="auto"/>
        <w:ind w:left="0" w:leftChars="0" w:right="0" w:firstLine="0" w:firstLineChars="0"/>
        <w:jc w:val="both"/>
        <w:textAlignment w:val="auto"/>
        <w:rPr>
          <w:rFonts w:hint="default" w:ascii="Arial" w:hAnsi="Arial" w:cs="Arial"/>
          <w:b/>
          <w:sz w:val="18"/>
          <w:szCs w:val="18"/>
        </w:rPr>
      </w:pPr>
    </w:p>
    <w:p w14:paraId="41D03EC5">
      <w:pPr>
        <w:autoSpaceDE w:val="0"/>
        <w:autoSpaceDN w:val="0"/>
        <w:adjustRightInd w:val="0"/>
        <w:spacing w:line="360" w:lineRule="auto"/>
        <w:jc w:val="center"/>
        <w:rPr>
          <w:rFonts w:hint="default" w:ascii="Arial" w:hAnsi="Arial" w:cs="Arial"/>
          <w:b/>
          <w:sz w:val="19"/>
          <w:szCs w:val="19"/>
        </w:rPr>
      </w:pPr>
    </w:p>
    <w:p w14:paraId="33BA659C">
      <w:pPr>
        <w:autoSpaceDE w:val="0"/>
        <w:autoSpaceDN w:val="0"/>
        <w:adjustRightInd w:val="0"/>
        <w:spacing w:line="360" w:lineRule="auto"/>
        <w:jc w:val="center"/>
        <w:rPr>
          <w:rFonts w:hint="default" w:ascii="Arial" w:hAnsi="Arial" w:cs="Arial"/>
          <w:b/>
          <w:sz w:val="19"/>
          <w:szCs w:val="19"/>
        </w:rPr>
      </w:pPr>
    </w:p>
    <w:p w14:paraId="23A8B9B6">
      <w:pPr>
        <w:autoSpaceDE w:val="0"/>
        <w:autoSpaceDN w:val="0"/>
        <w:adjustRightInd w:val="0"/>
        <w:spacing w:line="360" w:lineRule="auto"/>
        <w:jc w:val="center"/>
        <w:rPr>
          <w:rFonts w:hint="default" w:ascii="Arial" w:hAnsi="Arial" w:cs="Arial"/>
          <w:b/>
          <w:sz w:val="19"/>
          <w:szCs w:val="19"/>
        </w:rPr>
      </w:pPr>
    </w:p>
    <w:p w14:paraId="3C9038A8">
      <w:pPr>
        <w:autoSpaceDE w:val="0"/>
        <w:autoSpaceDN w:val="0"/>
        <w:adjustRightInd w:val="0"/>
        <w:spacing w:line="360" w:lineRule="auto"/>
        <w:jc w:val="center"/>
        <w:rPr>
          <w:rFonts w:hint="default" w:ascii="Arial" w:hAnsi="Arial" w:cs="Arial"/>
          <w:b/>
          <w:sz w:val="19"/>
          <w:szCs w:val="19"/>
        </w:rPr>
      </w:pPr>
    </w:p>
    <w:p w14:paraId="140978F7">
      <w:pPr>
        <w:autoSpaceDE w:val="0"/>
        <w:autoSpaceDN w:val="0"/>
        <w:adjustRightInd w:val="0"/>
        <w:spacing w:line="360" w:lineRule="auto"/>
        <w:jc w:val="center"/>
        <w:rPr>
          <w:rFonts w:hint="default" w:ascii="Arial" w:hAnsi="Arial" w:cs="Arial"/>
          <w:b/>
          <w:sz w:val="19"/>
          <w:szCs w:val="19"/>
        </w:rPr>
      </w:pPr>
    </w:p>
    <w:p w14:paraId="448364F9">
      <w:pPr>
        <w:autoSpaceDE w:val="0"/>
        <w:autoSpaceDN w:val="0"/>
        <w:adjustRightInd w:val="0"/>
        <w:spacing w:line="360" w:lineRule="auto"/>
        <w:jc w:val="center"/>
        <w:rPr>
          <w:rFonts w:hint="default" w:ascii="Arial" w:hAnsi="Arial" w:cs="Arial"/>
          <w:b/>
          <w:sz w:val="19"/>
          <w:szCs w:val="19"/>
        </w:rPr>
      </w:pPr>
    </w:p>
    <w:p w14:paraId="6FD17EF0">
      <w:pPr>
        <w:autoSpaceDE w:val="0"/>
        <w:autoSpaceDN w:val="0"/>
        <w:adjustRightInd w:val="0"/>
        <w:spacing w:line="360" w:lineRule="auto"/>
        <w:jc w:val="both"/>
        <w:rPr>
          <w:rFonts w:hint="default" w:ascii="Arial" w:hAnsi="Arial" w:cs="Arial"/>
          <w:b/>
          <w:sz w:val="19"/>
          <w:szCs w:val="19"/>
        </w:rPr>
      </w:pPr>
    </w:p>
    <w:p w14:paraId="172B6742">
      <w:pPr>
        <w:autoSpaceDE w:val="0"/>
        <w:autoSpaceDN w:val="0"/>
        <w:adjustRightInd w:val="0"/>
        <w:spacing w:line="360" w:lineRule="auto"/>
        <w:jc w:val="both"/>
        <w:rPr>
          <w:rFonts w:hint="default" w:ascii="Arial" w:hAnsi="Arial" w:cs="Arial"/>
          <w:b/>
          <w:sz w:val="19"/>
          <w:szCs w:val="19"/>
        </w:rPr>
      </w:pPr>
    </w:p>
    <w:p w14:paraId="63333F49">
      <w:pPr>
        <w:autoSpaceDE w:val="0"/>
        <w:autoSpaceDN w:val="0"/>
        <w:adjustRightInd w:val="0"/>
        <w:spacing w:line="360" w:lineRule="auto"/>
        <w:jc w:val="both"/>
        <w:rPr>
          <w:rFonts w:hint="default" w:ascii="Arial" w:hAnsi="Arial" w:cs="Arial"/>
          <w:b/>
          <w:sz w:val="19"/>
          <w:szCs w:val="19"/>
        </w:rPr>
      </w:pPr>
    </w:p>
    <w:p w14:paraId="5E06CFBD">
      <w:pPr>
        <w:autoSpaceDE w:val="0"/>
        <w:autoSpaceDN w:val="0"/>
        <w:adjustRightInd w:val="0"/>
        <w:spacing w:line="360" w:lineRule="auto"/>
        <w:jc w:val="both"/>
        <w:rPr>
          <w:rFonts w:hint="default" w:ascii="Arial" w:hAnsi="Arial" w:cs="Arial"/>
          <w:b/>
          <w:sz w:val="19"/>
          <w:szCs w:val="19"/>
        </w:rPr>
      </w:pPr>
    </w:p>
    <w:p w14:paraId="1B5390A2">
      <w:pPr>
        <w:autoSpaceDE w:val="0"/>
        <w:autoSpaceDN w:val="0"/>
        <w:adjustRightInd w:val="0"/>
        <w:spacing w:line="360" w:lineRule="auto"/>
        <w:jc w:val="both"/>
        <w:rPr>
          <w:rFonts w:hint="default" w:ascii="Arial" w:hAnsi="Arial" w:cs="Arial"/>
          <w:b/>
          <w:sz w:val="19"/>
          <w:szCs w:val="19"/>
        </w:rPr>
      </w:pPr>
    </w:p>
    <w:p w14:paraId="670DE2B6">
      <w:pPr>
        <w:autoSpaceDE w:val="0"/>
        <w:autoSpaceDN w:val="0"/>
        <w:adjustRightInd w:val="0"/>
        <w:spacing w:line="360" w:lineRule="auto"/>
        <w:jc w:val="both"/>
        <w:rPr>
          <w:rFonts w:hint="default" w:ascii="Arial" w:hAnsi="Arial" w:cs="Arial"/>
          <w:b/>
          <w:sz w:val="19"/>
          <w:szCs w:val="19"/>
        </w:rPr>
      </w:pPr>
    </w:p>
    <w:p w14:paraId="561FB500">
      <w:pPr>
        <w:autoSpaceDE w:val="0"/>
        <w:autoSpaceDN w:val="0"/>
        <w:adjustRightInd w:val="0"/>
        <w:spacing w:line="360" w:lineRule="auto"/>
        <w:jc w:val="both"/>
        <w:rPr>
          <w:rFonts w:hint="default" w:ascii="Arial" w:hAnsi="Arial" w:cs="Arial"/>
          <w:b/>
          <w:sz w:val="19"/>
          <w:szCs w:val="19"/>
        </w:rPr>
      </w:pPr>
    </w:p>
    <w:p w14:paraId="1A626351">
      <w:pPr>
        <w:autoSpaceDE w:val="0"/>
        <w:autoSpaceDN w:val="0"/>
        <w:adjustRightInd w:val="0"/>
        <w:spacing w:line="360" w:lineRule="auto"/>
        <w:jc w:val="both"/>
        <w:rPr>
          <w:rFonts w:hint="default" w:ascii="Arial" w:hAnsi="Arial" w:cs="Arial"/>
          <w:b/>
          <w:sz w:val="19"/>
          <w:szCs w:val="19"/>
        </w:rPr>
      </w:pPr>
    </w:p>
    <w:p w14:paraId="099B9CB0">
      <w:pPr>
        <w:autoSpaceDE w:val="0"/>
        <w:autoSpaceDN w:val="0"/>
        <w:adjustRightInd w:val="0"/>
        <w:spacing w:line="360" w:lineRule="auto"/>
        <w:jc w:val="both"/>
        <w:rPr>
          <w:rFonts w:hint="default" w:ascii="Arial" w:hAnsi="Arial" w:cs="Arial"/>
          <w:b/>
          <w:sz w:val="19"/>
          <w:szCs w:val="19"/>
        </w:rPr>
      </w:pPr>
    </w:p>
    <w:p w14:paraId="46EEF116">
      <w:pPr>
        <w:autoSpaceDE w:val="0"/>
        <w:autoSpaceDN w:val="0"/>
        <w:adjustRightInd w:val="0"/>
        <w:spacing w:line="360" w:lineRule="auto"/>
        <w:jc w:val="both"/>
        <w:rPr>
          <w:rFonts w:hint="default" w:ascii="Arial" w:hAnsi="Arial" w:cs="Arial"/>
          <w:b/>
          <w:sz w:val="19"/>
          <w:szCs w:val="19"/>
        </w:rPr>
      </w:pPr>
    </w:p>
    <w:p w14:paraId="028796FA">
      <w:pPr>
        <w:autoSpaceDE w:val="0"/>
        <w:autoSpaceDN w:val="0"/>
        <w:adjustRightInd w:val="0"/>
        <w:spacing w:line="360" w:lineRule="auto"/>
        <w:jc w:val="both"/>
        <w:rPr>
          <w:rFonts w:hint="default" w:ascii="Arial" w:hAnsi="Arial" w:cs="Arial"/>
          <w:b/>
          <w:sz w:val="19"/>
          <w:szCs w:val="19"/>
        </w:rPr>
      </w:pPr>
    </w:p>
    <w:p w14:paraId="49A6E7BB">
      <w:pPr>
        <w:autoSpaceDE w:val="0"/>
        <w:autoSpaceDN w:val="0"/>
        <w:adjustRightInd w:val="0"/>
        <w:spacing w:line="360" w:lineRule="auto"/>
        <w:jc w:val="both"/>
        <w:rPr>
          <w:rFonts w:hint="default" w:ascii="Arial" w:hAnsi="Arial" w:cs="Arial"/>
          <w:b/>
          <w:sz w:val="19"/>
          <w:szCs w:val="19"/>
        </w:rPr>
      </w:pPr>
    </w:p>
    <w:p w14:paraId="6313A504">
      <w:pPr>
        <w:autoSpaceDE w:val="0"/>
        <w:autoSpaceDN w:val="0"/>
        <w:adjustRightInd w:val="0"/>
        <w:spacing w:line="360" w:lineRule="auto"/>
        <w:jc w:val="both"/>
        <w:rPr>
          <w:rFonts w:hint="default" w:ascii="Arial" w:hAnsi="Arial" w:cs="Arial"/>
          <w:b/>
          <w:sz w:val="19"/>
          <w:szCs w:val="19"/>
        </w:rPr>
      </w:pPr>
    </w:p>
    <w:p w14:paraId="7E5689DC">
      <w:pPr>
        <w:autoSpaceDE w:val="0"/>
        <w:autoSpaceDN w:val="0"/>
        <w:adjustRightInd w:val="0"/>
        <w:spacing w:line="360" w:lineRule="auto"/>
        <w:jc w:val="both"/>
        <w:rPr>
          <w:rFonts w:hint="default" w:ascii="Arial" w:hAnsi="Arial" w:cs="Arial"/>
          <w:b/>
          <w:sz w:val="19"/>
          <w:szCs w:val="19"/>
        </w:rPr>
      </w:pPr>
    </w:p>
    <w:p w14:paraId="13531FDB">
      <w:pPr>
        <w:autoSpaceDE w:val="0"/>
        <w:autoSpaceDN w:val="0"/>
        <w:adjustRightInd w:val="0"/>
        <w:spacing w:line="360" w:lineRule="auto"/>
        <w:jc w:val="both"/>
        <w:rPr>
          <w:rFonts w:hint="default" w:ascii="Arial" w:hAnsi="Arial" w:cs="Arial"/>
          <w:b/>
          <w:sz w:val="19"/>
          <w:szCs w:val="19"/>
        </w:rPr>
      </w:pPr>
    </w:p>
    <w:p w14:paraId="03A91E3F">
      <w:pPr>
        <w:autoSpaceDE w:val="0"/>
        <w:autoSpaceDN w:val="0"/>
        <w:adjustRightInd w:val="0"/>
        <w:spacing w:line="360" w:lineRule="auto"/>
        <w:jc w:val="both"/>
        <w:rPr>
          <w:rFonts w:hint="default" w:ascii="Arial" w:hAnsi="Arial" w:cs="Arial"/>
          <w:b/>
          <w:sz w:val="19"/>
          <w:szCs w:val="19"/>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135/2024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077/2024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056/2024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01 de novembro</w:t>
      </w:r>
      <w:bookmarkStart w:id="56" w:name="_GoBack"/>
      <w:bookmarkEnd w:id="56"/>
      <w:r>
        <w:rPr>
          <w:rFonts w:hint="default" w:ascii="Arial" w:hAnsi="Arial" w:cs="Arial"/>
          <w:b/>
          <w:bCs/>
          <w:sz w:val="20"/>
          <w:szCs w:val="20"/>
          <w:lang w:val="pt-BR"/>
        </w:rPr>
        <w:t xml:space="preserve">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913A">
      <w:pPr>
        <w:spacing w:line="276" w:lineRule="auto"/>
        <w:ind w:left="-142"/>
        <w:rPr>
          <w:rFonts w:ascii="Arial" w:hAnsi="Arial" w:cs="Arial"/>
          <w:sz w:val="20"/>
          <w:szCs w:val="20"/>
        </w:rPr>
      </w:pPr>
    </w:p>
    <w:tbl>
      <w:tblPr>
        <w:tblStyle w:val="5"/>
        <w:tblW w:w="5618" w:type="pct"/>
        <w:jc w:val="center"/>
        <w:tblLayout w:type="autofit"/>
        <w:tblCellMar>
          <w:top w:w="15" w:type="dxa"/>
          <w:left w:w="15" w:type="dxa"/>
          <w:bottom w:w="15" w:type="dxa"/>
          <w:right w:w="15" w:type="dxa"/>
        </w:tblCellMar>
      </w:tblPr>
      <w:tblGrid>
        <w:gridCol w:w="733"/>
        <w:gridCol w:w="4130"/>
        <w:gridCol w:w="1554"/>
        <w:gridCol w:w="846"/>
        <w:gridCol w:w="919"/>
        <w:gridCol w:w="919"/>
        <w:gridCol w:w="919"/>
        <w:gridCol w:w="1070"/>
      </w:tblGrid>
      <w:tr w14:paraId="504CD304">
        <w:tblPrEx>
          <w:tblCellMar>
            <w:top w:w="15" w:type="dxa"/>
            <w:left w:w="15" w:type="dxa"/>
            <w:bottom w:w="15" w:type="dxa"/>
            <w:right w:w="15" w:type="dxa"/>
          </w:tblCellMar>
        </w:tblPrEx>
        <w:trPr>
          <w:trHeight w:val="243" w:hRule="atLeast"/>
          <w:jc w:val="center"/>
        </w:trPr>
        <w:tc>
          <w:tcPr>
            <w:tcW w:w="330" w:type="pct"/>
            <w:tcBorders>
              <w:top w:val="single" w:color="000000" w:sz="8" w:space="0"/>
              <w:left w:val="single" w:color="000000" w:sz="8" w:space="0"/>
              <w:bottom w:val="single" w:color="auto" w:sz="4" w:space="0"/>
              <w:right w:val="single" w:color="000000" w:sz="8" w:space="0"/>
            </w:tcBorders>
          </w:tcPr>
          <w:p w14:paraId="14464599">
            <w:pPr>
              <w:pStyle w:val="221"/>
              <w:spacing w:after="0" w:line="240" w:lineRule="auto"/>
              <w:ind w:left="0"/>
              <w:jc w:val="center"/>
              <w:rPr>
                <w:rFonts w:hint="default" w:ascii="Arial" w:hAnsi="Arial" w:cs="Arial"/>
                <w:b/>
                <w:sz w:val="18"/>
                <w:szCs w:val="18"/>
              </w:rPr>
            </w:pPr>
            <w:r>
              <w:rPr>
                <w:rFonts w:hint="default" w:ascii="Arial" w:hAnsi="Arial" w:cs="Arial"/>
                <w:b/>
                <w:sz w:val="18"/>
                <w:szCs w:val="18"/>
              </w:rPr>
              <w:t>Item</w:t>
            </w:r>
          </w:p>
        </w:tc>
        <w:tc>
          <w:tcPr>
            <w:tcW w:w="1860"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0210B112">
            <w:pPr>
              <w:spacing w:after="0" w:line="240" w:lineRule="auto"/>
              <w:jc w:val="center"/>
              <w:rPr>
                <w:rFonts w:hint="default" w:ascii="Arial" w:hAnsi="Arial" w:cs="Arial"/>
                <w:b/>
                <w:sz w:val="18"/>
                <w:szCs w:val="18"/>
              </w:rPr>
            </w:pPr>
            <w:r>
              <w:rPr>
                <w:rFonts w:hint="default" w:ascii="Arial" w:hAnsi="Arial" w:cs="Arial"/>
                <w:b/>
                <w:sz w:val="18"/>
                <w:szCs w:val="18"/>
              </w:rPr>
              <w:t>Descrição</w:t>
            </w:r>
          </w:p>
        </w:tc>
        <w:tc>
          <w:tcPr>
            <w:tcW w:w="700" w:type="pct"/>
            <w:tcBorders>
              <w:top w:val="single" w:color="000000" w:sz="8" w:space="0"/>
              <w:left w:val="single" w:color="000000" w:sz="8" w:space="0"/>
              <w:bottom w:val="single" w:color="auto" w:sz="4" w:space="0"/>
              <w:right w:val="single" w:color="000000" w:sz="8" w:space="0"/>
            </w:tcBorders>
            <w:vAlign w:val="center"/>
          </w:tcPr>
          <w:p w14:paraId="75BF4700">
            <w:pPr>
              <w:tabs>
                <w:tab w:val="center" w:pos="4252"/>
                <w:tab w:val="left" w:pos="6660"/>
              </w:tabs>
              <w:spacing w:after="0" w:line="240" w:lineRule="auto"/>
              <w:jc w:val="center"/>
              <w:rPr>
                <w:rFonts w:hint="default" w:ascii="Arial" w:hAnsi="Arial" w:cs="Arial"/>
                <w:b/>
                <w:sz w:val="18"/>
                <w:szCs w:val="18"/>
              </w:rPr>
            </w:pPr>
            <w:r>
              <w:rPr>
                <w:rFonts w:ascii="Arial" w:hAnsi="Arial" w:cs="Arial"/>
                <w:b/>
                <w:sz w:val="18"/>
                <w:szCs w:val="18"/>
              </w:rPr>
              <w:t>Marcas para Referência</w:t>
            </w:r>
          </w:p>
        </w:tc>
        <w:tc>
          <w:tcPr>
            <w:tcW w:w="381" w:type="pct"/>
            <w:tcBorders>
              <w:top w:val="single" w:color="000000" w:sz="8" w:space="0"/>
              <w:left w:val="single" w:color="000000" w:sz="8" w:space="0"/>
              <w:bottom w:val="single" w:color="auto" w:sz="4" w:space="0"/>
              <w:right w:val="single" w:color="000000" w:sz="8" w:space="0"/>
            </w:tcBorders>
          </w:tcPr>
          <w:p w14:paraId="2051D1D4">
            <w:pPr>
              <w:spacing w:after="0" w:line="240" w:lineRule="auto"/>
              <w:jc w:val="center"/>
              <w:rPr>
                <w:rFonts w:hint="default" w:ascii="Arial" w:hAnsi="Arial" w:cs="Arial"/>
                <w:b/>
                <w:sz w:val="18"/>
                <w:szCs w:val="18"/>
              </w:rPr>
            </w:pPr>
            <w:r>
              <w:rPr>
                <w:rFonts w:hint="default" w:ascii="Arial" w:hAnsi="Arial" w:cs="Arial"/>
                <w:b/>
                <w:sz w:val="18"/>
                <w:szCs w:val="18"/>
              </w:rPr>
              <w:t>UND</w:t>
            </w:r>
          </w:p>
        </w:tc>
        <w:tc>
          <w:tcPr>
            <w:tcW w:w="414" w:type="pct"/>
            <w:tcBorders>
              <w:top w:val="single" w:color="000000" w:sz="8" w:space="0"/>
              <w:left w:val="single" w:color="000000" w:sz="8" w:space="0"/>
              <w:bottom w:val="single" w:color="auto" w:sz="4" w:space="0"/>
              <w:right w:val="single" w:color="000000" w:sz="8" w:space="0"/>
            </w:tcBorders>
          </w:tcPr>
          <w:p w14:paraId="1AD982F0">
            <w:pPr>
              <w:spacing w:after="0" w:line="240" w:lineRule="auto"/>
              <w:jc w:val="center"/>
              <w:rPr>
                <w:rFonts w:hint="default" w:ascii="Arial" w:hAnsi="Arial" w:cs="Arial"/>
                <w:b/>
                <w:sz w:val="18"/>
                <w:szCs w:val="18"/>
              </w:rPr>
            </w:pPr>
            <w:r>
              <w:rPr>
                <w:rFonts w:hint="default" w:ascii="Arial" w:hAnsi="Arial" w:cs="Arial"/>
                <w:b/>
                <w:sz w:val="18"/>
                <w:szCs w:val="18"/>
              </w:rPr>
              <w:t>QTD</w:t>
            </w:r>
          </w:p>
        </w:tc>
        <w:tc>
          <w:tcPr>
            <w:tcW w:w="414" w:type="pct"/>
            <w:tcBorders>
              <w:top w:val="single" w:color="000000" w:sz="8" w:space="0"/>
              <w:left w:val="single" w:color="000000" w:sz="8" w:space="0"/>
              <w:bottom w:val="single" w:color="auto" w:sz="4" w:space="0"/>
              <w:right w:val="single" w:color="000000" w:sz="8" w:space="0"/>
            </w:tcBorders>
          </w:tcPr>
          <w:p w14:paraId="4C640C2E">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Marca</w:t>
            </w:r>
          </w:p>
        </w:tc>
        <w:tc>
          <w:tcPr>
            <w:tcW w:w="414" w:type="pct"/>
            <w:tcBorders>
              <w:top w:val="single" w:color="000000" w:sz="8" w:space="0"/>
              <w:left w:val="single" w:color="000000" w:sz="8" w:space="0"/>
              <w:bottom w:val="single" w:color="auto" w:sz="4" w:space="0"/>
              <w:right w:val="single" w:color="000000" w:sz="8" w:space="0"/>
            </w:tcBorders>
          </w:tcPr>
          <w:p w14:paraId="7104135C">
            <w:pPr>
              <w:spacing w:after="0" w:line="240" w:lineRule="auto"/>
              <w:jc w:val="center"/>
              <w:rPr>
                <w:rFonts w:hint="default" w:ascii="Arial" w:hAnsi="Arial" w:cs="Arial"/>
                <w:b/>
                <w:sz w:val="18"/>
                <w:szCs w:val="18"/>
              </w:rPr>
            </w:pPr>
            <w:r>
              <w:rPr>
                <w:rFonts w:hint="default" w:ascii="Arial" w:hAnsi="Arial" w:cs="Arial"/>
                <w:b/>
                <w:sz w:val="18"/>
                <w:szCs w:val="18"/>
                <w:lang w:val="pt-BR"/>
              </w:rPr>
              <w:t>Vr. Unit</w:t>
            </w:r>
          </w:p>
        </w:tc>
        <w:tc>
          <w:tcPr>
            <w:tcW w:w="482" w:type="pct"/>
            <w:tcBorders>
              <w:top w:val="single" w:color="000000" w:sz="8" w:space="0"/>
              <w:left w:val="single" w:color="000000" w:sz="8" w:space="0"/>
              <w:bottom w:val="single" w:color="auto" w:sz="4" w:space="0"/>
              <w:right w:val="single" w:color="000000" w:sz="8" w:space="0"/>
            </w:tcBorders>
            <w:shd w:val="clear" w:color="auto" w:fill="auto"/>
          </w:tcPr>
          <w:p w14:paraId="1D704E49">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Vr. Total</w:t>
            </w:r>
          </w:p>
        </w:tc>
      </w:tr>
      <w:tr w14:paraId="35AA5C1E">
        <w:tblPrEx>
          <w:tblCellMar>
            <w:top w:w="15" w:type="dxa"/>
            <w:left w:w="15" w:type="dxa"/>
            <w:bottom w:w="15" w:type="dxa"/>
            <w:right w:w="15" w:type="dxa"/>
          </w:tblCellMar>
        </w:tblPrEx>
        <w:trPr>
          <w:trHeight w:val="758"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25C1D946">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DA048D2">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Dieta Enteral:</w:t>
            </w:r>
            <w:r>
              <w:rPr>
                <w:rFonts w:ascii="Arial" w:hAnsi="Arial" w:cs="Arial"/>
                <w:sz w:val="18"/>
                <w:szCs w:val="18"/>
                <w:shd w:val="clear" w:color="auto" w:fill="FFFFFF"/>
              </w:rPr>
              <w:t xml:space="preserve"> Aspecto Físico: Líquido, uso: enteral ou oral, Características: Hipercalórica, Hiperproteica, fonte de proteína: caseinato e ptnisol.soja e/ou ptnlsol.leite. Fonte de Carboidrato: Xarope Milho E/Ou Sacarose E/Ou Maltodextrina Fonte De Lipídios: Óleos Veg.E/Ou Tcm E/Ou Lec.Soja Componentes Adicionais: Vitaminas E Minerais Características Adicionais: Isenta Lactose E Glúten./ </w:t>
            </w:r>
            <w:r>
              <w:rPr>
                <w:rFonts w:ascii="Arial" w:hAnsi="Arial" w:cs="Arial"/>
                <w:sz w:val="18"/>
                <w:szCs w:val="18"/>
              </w:rPr>
              <w:t>Frasco 1.000ml/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0FF0BC4A">
            <w:pPr>
              <w:tabs>
                <w:tab w:val="center" w:pos="4252"/>
                <w:tab w:val="left" w:pos="6660"/>
              </w:tabs>
              <w:spacing w:after="0"/>
              <w:jc w:val="center"/>
              <w:rPr>
                <w:rFonts w:hint="default" w:ascii="Arial" w:hAnsi="Arial" w:cs="Arial"/>
                <w:sz w:val="18"/>
                <w:szCs w:val="18"/>
              </w:rPr>
            </w:pPr>
            <w:r>
              <w:rPr>
                <w:rFonts w:ascii="Arial" w:hAnsi="Arial" w:cs="Arial"/>
                <w:bCs/>
                <w:sz w:val="18"/>
                <w:szCs w:val="18"/>
              </w:rPr>
              <w:t>Isosource 1.5</w:t>
            </w:r>
          </w:p>
        </w:tc>
        <w:tc>
          <w:tcPr>
            <w:tcW w:w="381" w:type="pct"/>
            <w:tcBorders>
              <w:top w:val="single" w:color="000000" w:sz="8" w:space="0"/>
              <w:left w:val="single" w:color="000000" w:sz="8" w:space="0"/>
              <w:bottom w:val="single" w:color="000000" w:sz="8" w:space="0"/>
              <w:right w:val="single" w:color="000000" w:sz="8" w:space="0"/>
            </w:tcBorders>
            <w:vAlign w:val="top"/>
          </w:tcPr>
          <w:p w14:paraId="5FE81802">
            <w:pPr>
              <w:tabs>
                <w:tab w:val="center" w:pos="4252"/>
                <w:tab w:val="left" w:pos="6660"/>
              </w:tabs>
              <w:spacing w:after="0"/>
              <w:jc w:val="center"/>
              <w:rPr>
                <w:rFonts w:ascii="Arial" w:hAnsi="Arial" w:cs="Arial"/>
                <w:sz w:val="18"/>
                <w:szCs w:val="18"/>
              </w:rPr>
            </w:pPr>
            <w:r>
              <w:rPr>
                <w:rFonts w:ascii="Arial" w:hAnsi="Arial" w:cs="Arial"/>
                <w:sz w:val="18"/>
                <w:szCs w:val="18"/>
              </w:rPr>
              <w:t xml:space="preserve">Frasco </w:t>
            </w:r>
          </w:p>
          <w:p w14:paraId="78C730FA">
            <w:pPr>
              <w:tabs>
                <w:tab w:val="center" w:pos="4252"/>
                <w:tab w:val="left" w:pos="6660"/>
              </w:tabs>
              <w:spacing w:after="0"/>
              <w:jc w:val="center"/>
              <w:rPr>
                <w:rFonts w:hint="default" w:ascii="Arial" w:hAnsi="Arial" w:cs="Arial"/>
                <w:sz w:val="18"/>
                <w:szCs w:val="18"/>
              </w:rPr>
            </w:pPr>
          </w:p>
        </w:tc>
        <w:tc>
          <w:tcPr>
            <w:tcW w:w="919" w:type="dxa"/>
            <w:tcBorders>
              <w:top w:val="single" w:color="000000" w:sz="8" w:space="0"/>
              <w:left w:val="single" w:color="000000" w:sz="8" w:space="0"/>
              <w:bottom w:val="single" w:color="000000" w:sz="8" w:space="0"/>
              <w:right w:val="single" w:color="000000" w:sz="8" w:space="0"/>
            </w:tcBorders>
            <w:vAlign w:val="top"/>
          </w:tcPr>
          <w:p w14:paraId="46F0D5EB">
            <w:pPr>
              <w:tabs>
                <w:tab w:val="center" w:pos="4252"/>
                <w:tab w:val="left" w:pos="6660"/>
              </w:tabs>
              <w:spacing w:after="0"/>
              <w:jc w:val="center"/>
              <w:rPr>
                <w:rFonts w:hint="default" w:ascii="Arial" w:hAnsi="Arial" w:cs="Arial"/>
                <w:sz w:val="18"/>
                <w:szCs w:val="18"/>
              </w:rPr>
            </w:pPr>
            <w:r>
              <w:rPr>
                <w:rFonts w:ascii="Arial" w:hAnsi="Arial" w:cs="Arial"/>
                <w:bCs/>
                <w:sz w:val="18"/>
                <w:szCs w:val="18"/>
              </w:rPr>
              <w:t>700</w:t>
            </w:r>
          </w:p>
        </w:tc>
        <w:tc>
          <w:tcPr>
            <w:tcW w:w="414" w:type="pct"/>
            <w:tcBorders>
              <w:top w:val="single" w:color="000000" w:sz="8" w:space="0"/>
              <w:left w:val="single" w:color="000000" w:sz="8" w:space="0"/>
              <w:bottom w:val="single" w:color="000000" w:sz="8" w:space="0"/>
              <w:right w:val="single" w:color="000000" w:sz="8" w:space="0"/>
            </w:tcBorders>
          </w:tcPr>
          <w:p w14:paraId="22E3F029">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72075A33">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2B3E1235">
            <w:pPr>
              <w:spacing w:after="0" w:line="240" w:lineRule="auto"/>
              <w:jc w:val="center"/>
              <w:rPr>
                <w:rFonts w:hint="default" w:ascii="Arial" w:hAnsi="Arial" w:cs="Arial"/>
                <w:sz w:val="18"/>
                <w:szCs w:val="18"/>
              </w:rPr>
            </w:pPr>
          </w:p>
        </w:tc>
      </w:tr>
      <w:tr w14:paraId="75D2265C">
        <w:tblPrEx>
          <w:tblCellMar>
            <w:top w:w="15" w:type="dxa"/>
            <w:left w:w="15" w:type="dxa"/>
            <w:bottom w:w="15" w:type="dxa"/>
            <w:right w:w="15" w:type="dxa"/>
          </w:tblCellMar>
        </w:tblPrEx>
        <w:trPr>
          <w:trHeight w:val="622"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38CD6DF5">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57CF9639">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 xml:space="preserve">Dieta infantil: </w:t>
            </w:r>
            <w:r>
              <w:rPr>
                <w:rFonts w:ascii="Arial" w:hAnsi="Arial" w:cs="Arial"/>
                <w:sz w:val="18"/>
                <w:szCs w:val="18"/>
                <w:shd w:val="clear" w:color="auto" w:fill="FFFFFF"/>
              </w:rPr>
              <w:t xml:space="preserve">Indicação: 0 a 12 meses, aspecto físico: pó, uso: enteral ou oral, fonte de proteína: ptn hidrolisada soro leite, fonte de carboidrato: maltodextrinae, ou lactose e, ou amido, fonte de lipídios: óleos vegetais, componentes adicionais: vitamina e fibras, características adicionais: isento glúten, sacarose e frutose, adicionais: c, lcpufas, prebióticos/ </w:t>
            </w:r>
            <w:r>
              <w:rPr>
                <w:rFonts w:ascii="Arial" w:hAnsi="Arial" w:cs="Arial"/>
                <w:sz w:val="18"/>
                <w:szCs w:val="18"/>
              </w:rPr>
              <w:t>Lata 800g;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71310679">
            <w:pPr>
              <w:tabs>
                <w:tab w:val="center" w:pos="4252"/>
                <w:tab w:val="left" w:pos="6660"/>
              </w:tabs>
              <w:spacing w:after="0"/>
              <w:jc w:val="center"/>
              <w:rPr>
                <w:rFonts w:ascii="Arial" w:hAnsi="Arial" w:cs="Arial"/>
                <w:sz w:val="18"/>
                <w:szCs w:val="18"/>
              </w:rPr>
            </w:pPr>
            <w:r>
              <w:rPr>
                <w:rFonts w:ascii="Arial" w:hAnsi="Arial" w:cs="Arial"/>
                <w:bCs/>
                <w:sz w:val="18"/>
                <w:szCs w:val="18"/>
              </w:rPr>
              <w:t>APTAMIL PEPTI</w:t>
            </w:r>
          </w:p>
        </w:tc>
        <w:tc>
          <w:tcPr>
            <w:tcW w:w="381" w:type="pct"/>
            <w:tcBorders>
              <w:top w:val="single" w:color="000000" w:sz="8" w:space="0"/>
              <w:left w:val="single" w:color="000000" w:sz="8" w:space="0"/>
              <w:bottom w:val="single" w:color="000000" w:sz="8" w:space="0"/>
              <w:right w:val="single" w:color="000000" w:sz="8" w:space="0"/>
            </w:tcBorders>
            <w:vAlign w:val="top"/>
          </w:tcPr>
          <w:p w14:paraId="6BD3F4F0">
            <w:pPr>
              <w:tabs>
                <w:tab w:val="center" w:pos="4252"/>
                <w:tab w:val="left" w:pos="6660"/>
              </w:tabs>
              <w:spacing w:after="0"/>
              <w:jc w:val="center"/>
              <w:rPr>
                <w:rFonts w:hint="default" w:ascii="Arial" w:hAnsi="Arial" w:cs="Arial"/>
                <w:sz w:val="18"/>
                <w:szCs w:val="18"/>
              </w:rPr>
            </w:pPr>
            <w:r>
              <w:rPr>
                <w:rFonts w:ascii="Arial" w:hAnsi="Arial" w:cs="Arial"/>
                <w:sz w:val="18"/>
                <w:szCs w:val="18"/>
              </w:rPr>
              <w:t xml:space="preserve">Lata </w:t>
            </w:r>
          </w:p>
        </w:tc>
        <w:tc>
          <w:tcPr>
            <w:tcW w:w="919" w:type="dxa"/>
            <w:tcBorders>
              <w:top w:val="single" w:color="000000" w:sz="8" w:space="0"/>
              <w:left w:val="single" w:color="000000" w:sz="8" w:space="0"/>
              <w:bottom w:val="single" w:color="000000" w:sz="8" w:space="0"/>
              <w:right w:val="single" w:color="000000" w:sz="8" w:space="0"/>
            </w:tcBorders>
            <w:vAlign w:val="top"/>
          </w:tcPr>
          <w:p w14:paraId="6CEE81C0">
            <w:pPr>
              <w:tabs>
                <w:tab w:val="center" w:pos="4252"/>
                <w:tab w:val="left" w:pos="6660"/>
              </w:tabs>
              <w:spacing w:after="0"/>
              <w:jc w:val="center"/>
              <w:rPr>
                <w:rFonts w:hint="default" w:ascii="Arial" w:hAnsi="Arial" w:cs="Arial"/>
                <w:sz w:val="18"/>
                <w:szCs w:val="18"/>
              </w:rPr>
            </w:pPr>
            <w:r>
              <w:rPr>
                <w:rFonts w:ascii="Arial" w:hAnsi="Arial" w:cs="Arial"/>
                <w:bCs/>
                <w:sz w:val="18"/>
                <w:szCs w:val="18"/>
              </w:rPr>
              <w:t>1200</w:t>
            </w:r>
          </w:p>
        </w:tc>
        <w:tc>
          <w:tcPr>
            <w:tcW w:w="414" w:type="pct"/>
            <w:tcBorders>
              <w:top w:val="single" w:color="000000" w:sz="8" w:space="0"/>
              <w:left w:val="single" w:color="000000" w:sz="8" w:space="0"/>
              <w:bottom w:val="single" w:color="000000" w:sz="8" w:space="0"/>
              <w:right w:val="single" w:color="000000" w:sz="8" w:space="0"/>
            </w:tcBorders>
          </w:tcPr>
          <w:p w14:paraId="546BCF02">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6F4ABD9F">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60A88F2B">
            <w:pPr>
              <w:spacing w:after="0" w:line="240" w:lineRule="auto"/>
              <w:jc w:val="center"/>
              <w:rPr>
                <w:rFonts w:hint="default" w:ascii="Arial" w:hAnsi="Arial" w:cs="Arial"/>
                <w:sz w:val="18"/>
                <w:szCs w:val="18"/>
              </w:rPr>
            </w:pPr>
          </w:p>
        </w:tc>
      </w:tr>
      <w:tr w14:paraId="091F1BC0">
        <w:tblPrEx>
          <w:tblCellMar>
            <w:top w:w="15" w:type="dxa"/>
            <w:left w:w="15" w:type="dxa"/>
            <w:bottom w:w="15" w:type="dxa"/>
            <w:right w:w="15" w:type="dxa"/>
          </w:tblCellMar>
        </w:tblPrEx>
        <w:trPr>
          <w:trHeight w:val="355"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BA4F461">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3C7DA409">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 xml:space="preserve">Dieta infantil: </w:t>
            </w:r>
            <w:r>
              <w:rPr>
                <w:rFonts w:ascii="Arial" w:hAnsi="Arial" w:cs="Arial"/>
                <w:sz w:val="18"/>
                <w:szCs w:val="18"/>
                <w:shd w:val="clear" w:color="auto" w:fill="FFFFFF"/>
              </w:rPr>
              <w:t xml:space="preserve">Indicação: 1 a 10 anos de idade. Para pacientes com intolerância gastrintestinal, e/ou com dificuldade na absorção da proteína intacta e que se beneficiam do teor de TCM.   aspecto físico: pó, uso: enteral ou oral, fonte de proteína: ptn hidrolisada soro leite, fonte de carboidrato: maltodextrina e sacarose.  fonte de lipídios: TCM e óleos vegetais, componentes adicionais: vitamina e minerais, características adicionais: isento glúten, lactose/ </w:t>
            </w:r>
            <w:r>
              <w:rPr>
                <w:rFonts w:ascii="Arial" w:hAnsi="Arial" w:cs="Arial"/>
                <w:sz w:val="18"/>
                <w:szCs w:val="18"/>
              </w:rPr>
              <w:t>Lata 400g;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1802E159">
            <w:pPr>
              <w:tabs>
                <w:tab w:val="center" w:pos="4252"/>
                <w:tab w:val="left" w:pos="6660"/>
              </w:tabs>
              <w:spacing w:after="0"/>
              <w:jc w:val="center"/>
              <w:rPr>
                <w:rFonts w:ascii="Arial" w:hAnsi="Arial" w:cs="Arial"/>
                <w:sz w:val="18"/>
                <w:szCs w:val="18"/>
              </w:rPr>
            </w:pPr>
            <w:r>
              <w:rPr>
                <w:rFonts w:ascii="Arial" w:hAnsi="Arial" w:cs="Arial"/>
                <w:bCs/>
                <w:sz w:val="18"/>
                <w:szCs w:val="18"/>
              </w:rPr>
              <w:t>Peptamen Júnior</w:t>
            </w:r>
          </w:p>
        </w:tc>
        <w:tc>
          <w:tcPr>
            <w:tcW w:w="381" w:type="pct"/>
            <w:tcBorders>
              <w:top w:val="single" w:color="000000" w:sz="8" w:space="0"/>
              <w:left w:val="single" w:color="000000" w:sz="8" w:space="0"/>
              <w:bottom w:val="single" w:color="000000" w:sz="8" w:space="0"/>
              <w:right w:val="single" w:color="000000" w:sz="8" w:space="0"/>
            </w:tcBorders>
            <w:vAlign w:val="top"/>
          </w:tcPr>
          <w:p w14:paraId="053DD22B">
            <w:pPr>
              <w:tabs>
                <w:tab w:val="center" w:pos="4252"/>
                <w:tab w:val="left" w:pos="6660"/>
              </w:tabs>
              <w:spacing w:after="0"/>
              <w:jc w:val="center"/>
              <w:rPr>
                <w:rFonts w:hint="default" w:ascii="Arial" w:hAnsi="Arial" w:cs="Arial"/>
                <w:sz w:val="18"/>
                <w:szCs w:val="18"/>
              </w:rPr>
            </w:pPr>
            <w:r>
              <w:rPr>
                <w:rFonts w:ascii="Arial" w:hAnsi="Arial" w:cs="Arial"/>
                <w:sz w:val="18"/>
                <w:szCs w:val="18"/>
              </w:rPr>
              <w:t>Lata</w:t>
            </w:r>
          </w:p>
        </w:tc>
        <w:tc>
          <w:tcPr>
            <w:tcW w:w="919" w:type="dxa"/>
            <w:tcBorders>
              <w:top w:val="single" w:color="000000" w:sz="8" w:space="0"/>
              <w:left w:val="single" w:color="000000" w:sz="8" w:space="0"/>
              <w:bottom w:val="single" w:color="000000" w:sz="8" w:space="0"/>
              <w:right w:val="single" w:color="000000" w:sz="8" w:space="0"/>
            </w:tcBorders>
            <w:vAlign w:val="top"/>
          </w:tcPr>
          <w:p w14:paraId="3729EBE1">
            <w:pPr>
              <w:tabs>
                <w:tab w:val="center" w:pos="4252"/>
                <w:tab w:val="left" w:pos="6660"/>
              </w:tabs>
              <w:spacing w:after="0"/>
              <w:jc w:val="center"/>
              <w:rPr>
                <w:rFonts w:hint="default" w:ascii="Arial" w:hAnsi="Arial" w:cs="Arial"/>
                <w:sz w:val="18"/>
                <w:szCs w:val="18"/>
              </w:rPr>
            </w:pPr>
            <w:r>
              <w:rPr>
                <w:rFonts w:ascii="Arial" w:hAnsi="Arial" w:cs="Arial"/>
                <w:bCs/>
                <w:sz w:val="18"/>
                <w:szCs w:val="18"/>
              </w:rPr>
              <w:t>110</w:t>
            </w:r>
          </w:p>
        </w:tc>
        <w:tc>
          <w:tcPr>
            <w:tcW w:w="414" w:type="pct"/>
            <w:tcBorders>
              <w:top w:val="single" w:color="000000" w:sz="8" w:space="0"/>
              <w:left w:val="single" w:color="000000" w:sz="8" w:space="0"/>
              <w:bottom w:val="single" w:color="000000" w:sz="8" w:space="0"/>
              <w:right w:val="single" w:color="000000" w:sz="8" w:space="0"/>
            </w:tcBorders>
          </w:tcPr>
          <w:p w14:paraId="336DA97B">
            <w:pPr>
              <w:spacing w:after="0" w:line="240" w:lineRule="auto"/>
              <w:jc w:val="center"/>
              <w:rPr>
                <w:rFonts w:hint="default" w:ascii="Arial" w:hAnsi="Arial" w:cs="Arial"/>
                <w:sz w:val="18"/>
                <w:szCs w:val="18"/>
                <w:shd w:val="clear" w:color="auto" w:fill="FFFFFF"/>
              </w:rPr>
            </w:pPr>
          </w:p>
        </w:tc>
        <w:tc>
          <w:tcPr>
            <w:tcW w:w="414" w:type="pct"/>
            <w:tcBorders>
              <w:top w:val="single" w:color="000000" w:sz="8" w:space="0"/>
              <w:left w:val="single" w:color="000000" w:sz="8" w:space="0"/>
              <w:bottom w:val="single" w:color="000000" w:sz="8" w:space="0"/>
              <w:right w:val="single" w:color="000000" w:sz="8" w:space="0"/>
            </w:tcBorders>
          </w:tcPr>
          <w:p w14:paraId="105482ED">
            <w:pPr>
              <w:spacing w:after="0" w:line="240" w:lineRule="auto"/>
              <w:jc w:val="center"/>
              <w:rPr>
                <w:rFonts w:hint="default" w:ascii="Arial" w:hAnsi="Arial" w:cs="Arial"/>
                <w:sz w:val="18"/>
                <w:szCs w:val="18"/>
                <w:shd w:val="clear" w:color="auto" w:fill="FFFFFF"/>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71FDC16D">
            <w:pPr>
              <w:spacing w:after="0" w:line="240" w:lineRule="auto"/>
              <w:jc w:val="center"/>
              <w:rPr>
                <w:rFonts w:hint="default" w:ascii="Arial" w:hAnsi="Arial" w:cs="Arial"/>
                <w:sz w:val="18"/>
                <w:szCs w:val="18"/>
              </w:rPr>
            </w:pPr>
          </w:p>
        </w:tc>
      </w:tr>
      <w:tr w14:paraId="48B36AF3">
        <w:tblPrEx>
          <w:tblCellMar>
            <w:top w:w="15" w:type="dxa"/>
            <w:left w:w="15" w:type="dxa"/>
            <w:bottom w:w="15" w:type="dxa"/>
            <w:right w:w="15" w:type="dxa"/>
          </w:tblCellMar>
        </w:tblPrEx>
        <w:trPr>
          <w:trHeight w:val="845"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1C1A47A">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8FE883D">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Dieta Infantil:</w:t>
            </w:r>
            <w:r>
              <w:rPr>
                <w:rFonts w:ascii="Arial" w:hAnsi="Arial" w:cs="Arial"/>
                <w:sz w:val="18"/>
                <w:szCs w:val="18"/>
                <w:shd w:val="clear" w:color="auto" w:fill="FFFFFF"/>
              </w:rPr>
              <w:t xml:space="preserve"> maltodextrina, e frutose, C, Aspecto Físico: pó, uso: enteral e/ou oral, fonte de proteína: Ptn Isolada Soja fonte de carboidrato: fonte de lipídios: óleos vegetais componentes adicionais: vitaminas e minerais características adicionais: isento glúten, adicionais: C/ lecitina soja/ Lata 800g; N</w:t>
            </w:r>
            <w:r>
              <w:rPr>
                <w:rFonts w:ascii="Arial" w:hAnsi="Arial" w:cs="Arial"/>
                <w:sz w:val="18"/>
                <w:szCs w:val="18"/>
              </w:rPr>
              <w:t>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3CE398A5">
            <w:pPr>
              <w:tabs>
                <w:tab w:val="center" w:pos="4252"/>
                <w:tab w:val="left" w:pos="6660"/>
              </w:tabs>
              <w:spacing w:after="0"/>
              <w:jc w:val="center"/>
              <w:rPr>
                <w:rFonts w:ascii="Arial" w:hAnsi="Arial" w:cs="Arial"/>
                <w:sz w:val="18"/>
                <w:szCs w:val="18"/>
              </w:rPr>
            </w:pPr>
            <w:r>
              <w:rPr>
                <w:rFonts w:ascii="Arial" w:hAnsi="Arial" w:cs="Arial"/>
                <w:bCs/>
                <w:sz w:val="18"/>
                <w:szCs w:val="18"/>
              </w:rPr>
              <w:t>Milnutri Soja</w:t>
            </w:r>
          </w:p>
        </w:tc>
        <w:tc>
          <w:tcPr>
            <w:tcW w:w="381" w:type="pct"/>
            <w:tcBorders>
              <w:top w:val="single" w:color="000000" w:sz="8" w:space="0"/>
              <w:left w:val="single" w:color="000000" w:sz="8" w:space="0"/>
              <w:bottom w:val="single" w:color="000000" w:sz="8" w:space="0"/>
              <w:right w:val="single" w:color="000000" w:sz="8" w:space="0"/>
            </w:tcBorders>
            <w:vAlign w:val="top"/>
          </w:tcPr>
          <w:p w14:paraId="0FCBBFD8">
            <w:pPr>
              <w:tabs>
                <w:tab w:val="center" w:pos="4252"/>
                <w:tab w:val="left" w:pos="6660"/>
              </w:tabs>
              <w:spacing w:after="0"/>
              <w:jc w:val="center"/>
              <w:rPr>
                <w:rFonts w:hint="default" w:ascii="Arial" w:hAnsi="Arial" w:cs="Arial"/>
                <w:sz w:val="18"/>
                <w:szCs w:val="18"/>
              </w:rPr>
            </w:pPr>
            <w:r>
              <w:rPr>
                <w:rFonts w:ascii="Arial" w:hAnsi="Arial" w:cs="Arial"/>
                <w:sz w:val="18"/>
                <w:szCs w:val="18"/>
              </w:rPr>
              <w:t>Lata</w:t>
            </w:r>
          </w:p>
        </w:tc>
        <w:tc>
          <w:tcPr>
            <w:tcW w:w="919" w:type="dxa"/>
            <w:tcBorders>
              <w:top w:val="single" w:color="000000" w:sz="8" w:space="0"/>
              <w:left w:val="single" w:color="000000" w:sz="8" w:space="0"/>
              <w:bottom w:val="single" w:color="000000" w:sz="8" w:space="0"/>
              <w:right w:val="single" w:color="000000" w:sz="8" w:space="0"/>
            </w:tcBorders>
            <w:vAlign w:val="top"/>
          </w:tcPr>
          <w:p w14:paraId="28894E5E">
            <w:pPr>
              <w:tabs>
                <w:tab w:val="center" w:pos="4252"/>
                <w:tab w:val="left" w:pos="6660"/>
              </w:tabs>
              <w:spacing w:after="0"/>
              <w:jc w:val="center"/>
              <w:rPr>
                <w:rFonts w:hint="default" w:ascii="Arial" w:hAnsi="Arial" w:cs="Arial"/>
                <w:sz w:val="18"/>
                <w:szCs w:val="18"/>
              </w:rPr>
            </w:pPr>
            <w:r>
              <w:rPr>
                <w:rFonts w:ascii="Arial" w:hAnsi="Arial" w:cs="Arial"/>
                <w:bCs/>
                <w:sz w:val="18"/>
                <w:szCs w:val="18"/>
              </w:rPr>
              <w:t>145</w:t>
            </w:r>
          </w:p>
        </w:tc>
        <w:tc>
          <w:tcPr>
            <w:tcW w:w="414" w:type="pct"/>
            <w:tcBorders>
              <w:top w:val="single" w:color="000000" w:sz="8" w:space="0"/>
              <w:left w:val="single" w:color="000000" w:sz="8" w:space="0"/>
              <w:bottom w:val="single" w:color="000000" w:sz="8" w:space="0"/>
              <w:right w:val="single" w:color="000000" w:sz="8" w:space="0"/>
            </w:tcBorders>
          </w:tcPr>
          <w:p w14:paraId="2B2E278F">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6296BB3F">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61702A24">
            <w:pPr>
              <w:spacing w:after="0" w:line="240" w:lineRule="auto"/>
              <w:jc w:val="center"/>
              <w:rPr>
                <w:rFonts w:hint="default" w:ascii="Arial" w:hAnsi="Arial" w:cs="Arial"/>
                <w:sz w:val="18"/>
                <w:szCs w:val="18"/>
              </w:rPr>
            </w:pPr>
          </w:p>
        </w:tc>
      </w:tr>
      <w:tr w14:paraId="39F381A9">
        <w:tblPrEx>
          <w:tblCellMar>
            <w:top w:w="15" w:type="dxa"/>
            <w:left w:w="15" w:type="dxa"/>
            <w:bottom w:w="15" w:type="dxa"/>
            <w:right w:w="15" w:type="dxa"/>
          </w:tblCellMar>
        </w:tblPrEx>
        <w:trPr>
          <w:trHeight w:val="240"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561275DD">
            <w:pPr>
              <w:pStyle w:val="221"/>
              <w:numPr>
                <w:ilvl w:val="0"/>
                <w:numId w:val="0"/>
              </w:numPr>
              <w:spacing w:after="0" w:line="240" w:lineRule="auto"/>
              <w:ind w:left="360" w:leftChars="0"/>
              <w:jc w:val="both"/>
              <w:rPr>
                <w:rFonts w:hint="default" w:ascii="Arial" w:hAnsi="Arial" w:cs="Arial"/>
                <w:sz w:val="18"/>
                <w:szCs w:val="18"/>
              </w:rPr>
            </w:pP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A63BCB">
            <w:pPr>
              <w:spacing w:after="0" w:line="240" w:lineRule="auto"/>
              <w:jc w:val="both"/>
              <w:rPr>
                <w:rFonts w:hint="default" w:ascii="Arial" w:hAnsi="Arial" w:cs="Arial"/>
                <w:sz w:val="18"/>
                <w:szCs w:val="18"/>
              </w:rPr>
            </w:pPr>
          </w:p>
        </w:tc>
        <w:tc>
          <w:tcPr>
            <w:tcW w:w="700" w:type="pct"/>
            <w:tcBorders>
              <w:top w:val="single" w:color="000000" w:sz="8" w:space="0"/>
              <w:left w:val="single" w:color="000000" w:sz="8" w:space="0"/>
              <w:bottom w:val="single" w:color="000000" w:sz="8" w:space="0"/>
              <w:right w:val="single" w:color="000000" w:sz="8" w:space="0"/>
            </w:tcBorders>
          </w:tcPr>
          <w:p w14:paraId="519AC4E9">
            <w:pPr>
              <w:spacing w:after="0" w:line="240" w:lineRule="auto"/>
              <w:jc w:val="center"/>
              <w:rPr>
                <w:rFonts w:hint="default" w:ascii="Arial" w:hAnsi="Arial" w:cs="Arial"/>
                <w:sz w:val="18"/>
                <w:szCs w:val="18"/>
              </w:rPr>
            </w:pPr>
          </w:p>
        </w:tc>
        <w:tc>
          <w:tcPr>
            <w:tcW w:w="381" w:type="pct"/>
            <w:tcBorders>
              <w:top w:val="single" w:color="000000" w:sz="8" w:space="0"/>
              <w:left w:val="single" w:color="000000" w:sz="8" w:space="0"/>
              <w:bottom w:val="single" w:color="000000" w:sz="8" w:space="0"/>
              <w:right w:val="single" w:color="000000" w:sz="8" w:space="0"/>
            </w:tcBorders>
          </w:tcPr>
          <w:p w14:paraId="74147848">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439AECB3">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38F5613A">
            <w:pPr>
              <w:spacing w:after="0" w:line="240" w:lineRule="auto"/>
              <w:jc w:val="center"/>
              <w:rPr>
                <w:rFonts w:hint="default" w:ascii="Arial" w:hAnsi="Arial" w:cs="Arial"/>
                <w:sz w:val="18"/>
                <w:szCs w:val="18"/>
                <w:shd w:val="clear" w:color="auto" w:fill="FFFFFF"/>
              </w:rPr>
            </w:pPr>
          </w:p>
        </w:tc>
        <w:tc>
          <w:tcPr>
            <w:tcW w:w="414" w:type="pct"/>
            <w:tcBorders>
              <w:top w:val="single" w:color="000000" w:sz="8" w:space="0"/>
              <w:left w:val="single" w:color="000000" w:sz="8" w:space="0"/>
              <w:bottom w:val="single" w:color="000000" w:sz="8" w:space="0"/>
              <w:right w:val="single" w:color="000000" w:sz="8" w:space="0"/>
            </w:tcBorders>
          </w:tcPr>
          <w:p w14:paraId="39BCF536">
            <w:pPr>
              <w:spacing w:after="0" w:line="240" w:lineRule="auto"/>
              <w:jc w:val="center"/>
              <w:rPr>
                <w:rFonts w:hint="default" w:ascii="Arial" w:hAnsi="Arial" w:cs="Arial"/>
                <w:b/>
                <w:bCs/>
                <w:sz w:val="18"/>
                <w:szCs w:val="18"/>
                <w:shd w:val="clear" w:color="auto" w:fill="FFFFFF"/>
                <w:lang w:val="pt-BR"/>
              </w:rPr>
            </w:pPr>
            <w:r>
              <w:rPr>
                <w:rFonts w:hint="default" w:ascii="Arial" w:hAnsi="Arial" w:cs="Arial"/>
                <w:b/>
                <w:bCs/>
                <w:sz w:val="18"/>
                <w:szCs w:val="18"/>
                <w:shd w:val="clear" w:color="auto" w:fill="FFFFFF"/>
                <w:lang w:val="pt-BR"/>
              </w:rPr>
              <w:t>TOTAL:</w:t>
            </w: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3F59B967">
            <w:pPr>
              <w:spacing w:after="0" w:line="240" w:lineRule="auto"/>
              <w:jc w:val="center"/>
              <w:rPr>
                <w:rFonts w:hint="default" w:ascii="Arial" w:hAnsi="Arial" w:cs="Arial"/>
                <w:sz w:val="18"/>
                <w:szCs w:val="18"/>
              </w:rPr>
            </w:pPr>
          </w:p>
        </w:tc>
      </w:tr>
    </w:tbl>
    <w:p w14:paraId="63B4B4B0">
      <w:pPr>
        <w:spacing w:line="276" w:lineRule="auto"/>
        <w:rPr>
          <w:rFonts w:ascii="Arial" w:hAnsi="Arial" w:cs="Arial"/>
          <w:sz w:val="20"/>
          <w:szCs w:val="20"/>
        </w:rPr>
      </w:pPr>
    </w:p>
    <w:p w14:paraId="6B712F54">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u w:val="single"/>
        </w:rPr>
      </w:pPr>
      <w:r>
        <w:rPr>
          <w:rFonts w:hint="default" w:ascii="Arial" w:hAnsi="Arial" w:cs="Arial"/>
          <w:b/>
          <w:sz w:val="18"/>
          <w:szCs w:val="18"/>
          <w:u w:val="single"/>
        </w:rPr>
        <w:t xml:space="preserve">DA INDICAÇÃO DE MARCAS OU MODELOS </w:t>
      </w:r>
    </w:p>
    <w:p w14:paraId="79FF00F8">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u w:val="single"/>
          <w:lang w:eastAsia="zh-CN"/>
        </w:rPr>
      </w:pPr>
      <w:r>
        <w:rPr>
          <w:rFonts w:hint="default" w:ascii="Arial" w:hAnsi="Arial" w:eastAsia="LiberationSerif-Bold" w:cs="Arial"/>
          <w:bCs/>
          <w:sz w:val="18"/>
          <w:szCs w:val="18"/>
          <w:u w:val="single"/>
          <w:lang w:eastAsia="zh-CN"/>
        </w:rPr>
        <w:t>A justificativa para a aquisição dos suplementos alimentares de marcas específicas baseia-se na necessidade de atender a demandas judiciais que determinam a utilização de produtos específicos para o atendimento adequado dos pacientes. Estas demandas judiciais foram formuladas com base em prescrições médicas que identificam marcas e formulações específicas como essenciais para o tratamento e recuperação dos beneficiários. Portanto, a escolha de marcas específicas não é uma questão de preferência, mas uma exigência para garantir que os produtos atendam às necessidades terapêuticas e nutricionais dos pacientes de forma eficaz. A aceitação de propostas de outros produtos similares poderia comprometer a qualidade do tratamento, uma vez que as características e a eficácia dos suplementos podem variar significativamente entre diferentes marcas. Além disso, a aquisição das marcas indicadas assegura conformidade com as determinações judiciais e evita possíveis contestações legais relacionadas ao atendimento das prescrições médicas. Desta forma, a contratação de suplementos alimentares das marcas específicas é essencial para garantir a legalidade e a eficácia no cumprimento das demandas judiciais, assegurando o atendimento adequado e a qualidade dos cuidados prestados aos pacientes.</w:t>
      </w:r>
    </w:p>
    <w:p w14:paraId="285A25C3">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6B1FFB06">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43DB01C4">
      <w:pPr>
        <w:jc w:val="center"/>
        <w:rPr>
          <w:rFonts w:ascii="Arial" w:hAnsi="Arial" w:cs="Arial"/>
          <w:b/>
          <w:bCs/>
          <w:sz w:val="32"/>
          <w:szCs w:val="32"/>
        </w:rPr>
      </w:pPr>
    </w:p>
    <w:p w14:paraId="716EE77C">
      <w:pPr>
        <w:jc w:val="center"/>
        <w:rPr>
          <w:rFonts w:ascii="Arial" w:hAnsi="Arial" w:cs="Arial"/>
          <w:b/>
          <w:bCs/>
          <w:sz w:val="32"/>
          <w:szCs w:val="32"/>
        </w:rPr>
      </w:pPr>
    </w:p>
    <w:p w14:paraId="015D3B6E">
      <w:pPr>
        <w:jc w:val="center"/>
        <w:rPr>
          <w:rFonts w:ascii="Arial" w:hAnsi="Arial" w:cs="Arial"/>
          <w:b/>
          <w:bCs/>
          <w:sz w:val="32"/>
          <w:szCs w:val="32"/>
        </w:rPr>
      </w:pPr>
    </w:p>
    <w:p w14:paraId="17C8326B">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056/2024</w:t>
      </w:r>
      <w:r>
        <w:rPr>
          <w:rFonts w:hint="default" w:ascii="Arial" w:hAnsi="Arial" w:cs="Arial"/>
          <w:sz w:val="18"/>
          <w:szCs w:val="18"/>
        </w:rPr>
        <w:t xml:space="preserve">, Processo Administrativo n.º </w:t>
      </w:r>
      <w:r>
        <w:rPr>
          <w:rFonts w:hint="default" w:ascii="Arial" w:hAnsi="Arial" w:cs="Arial"/>
          <w:sz w:val="18"/>
          <w:szCs w:val="18"/>
          <w:lang w:val="pt-BR"/>
        </w:rPr>
        <w:t>135/2024</w:t>
      </w:r>
      <w:r>
        <w:rPr>
          <w:rFonts w:hint="default" w:ascii="Arial" w:hAnsi="Arial" w:cs="Arial"/>
          <w:sz w:val="18"/>
          <w:szCs w:val="18"/>
        </w:rPr>
        <w:t xml:space="preserve">, Pregão Eletrônico n° </w:t>
      </w:r>
      <w:r>
        <w:rPr>
          <w:rFonts w:hint="default" w:ascii="Arial" w:hAnsi="Arial" w:cs="Arial"/>
          <w:sz w:val="18"/>
          <w:szCs w:val="18"/>
          <w:lang w:val="pt-BR"/>
        </w:rPr>
        <w:t>077/2024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spacing w:line="240" w:lineRule="auto"/>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spacing w:line="240" w:lineRule="auto"/>
        <w:ind w:firstLine="567"/>
        <w:jc w:val="both"/>
        <w:rPr>
          <w:rFonts w:hint="default" w:ascii="Arial" w:hAnsi="Arial" w:cs="Arial"/>
          <w:bCs/>
          <w:sz w:val="18"/>
          <w:szCs w:val="18"/>
        </w:rPr>
      </w:pPr>
    </w:p>
    <w:p w14:paraId="53D0C64B">
      <w:pPr>
        <w:spacing w:line="240" w:lineRule="auto"/>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3"/>
        </w:numPr>
        <w:tabs>
          <w:tab w:val="left" w:pos="426"/>
        </w:tabs>
        <w:spacing w:line="240" w:lineRule="auto"/>
        <w:ind w:left="0" w:firstLine="0"/>
        <w:jc w:val="both"/>
        <w:rPr>
          <w:rFonts w:hint="default" w:ascii="Arial" w:hAnsi="Arial" w:cs="Arial"/>
          <w:b w:val="0"/>
          <w:bCs w:val="0"/>
          <w:sz w:val="18"/>
          <w:szCs w:val="18"/>
        </w:rPr>
      </w:pPr>
      <w:r>
        <w:rPr>
          <w:rFonts w:hint="default" w:ascii="Arial" w:hAnsi="Arial" w:cs="Arial"/>
          <w:sz w:val="18"/>
          <w:szCs w:val="18"/>
        </w:rPr>
        <w:t>Re</w:t>
      </w:r>
      <w:r>
        <w:rPr>
          <w:rFonts w:hint="default" w:ascii="Arial" w:hAnsi="Arial" w:cs="Arial"/>
          <w:b w:val="0"/>
          <w:bCs w:val="0"/>
          <w:sz w:val="18"/>
          <w:szCs w:val="18"/>
        </w:rPr>
        <w:t xml:space="preserve">gistrar </w:t>
      </w:r>
      <w:r>
        <w:rPr>
          <w:rFonts w:hint="default" w:ascii="Arial" w:hAnsi="Arial" w:cs="Arial"/>
          <w:b w:val="0"/>
          <w:bCs w:val="0"/>
          <w:sz w:val="18"/>
          <w:szCs w:val="18"/>
          <w:lang w:val="pt-BR"/>
        </w:rPr>
        <w:t xml:space="preserve">preços para futura e eventual </w:t>
      </w:r>
      <w:r>
        <w:rPr>
          <w:rFonts w:hint="default" w:ascii="Arial" w:hAnsi="Arial" w:cs="Arial"/>
          <w:b w:val="0"/>
          <w:bCs w:val="0"/>
          <w:color w:val="000000"/>
          <w:sz w:val="18"/>
          <w:szCs w:val="18"/>
        </w:rPr>
        <w:t xml:space="preserve">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suplementos alimentares para atender demandas judiciais da Secretaria Municipal de Saúde de Cataguases-MG</w:t>
      </w:r>
      <w:r>
        <w:rPr>
          <w:rFonts w:hint="default" w:ascii="Arial" w:hAnsi="Arial" w:cs="Arial"/>
          <w:b w:val="0"/>
          <w:bCs w:val="0"/>
          <w:sz w:val="18"/>
          <w:szCs w:val="18"/>
        </w:rPr>
        <w:t>, a saber:</w:t>
      </w:r>
    </w:p>
    <w:p w14:paraId="16284090">
      <w:pPr>
        <w:pStyle w:val="221"/>
        <w:numPr>
          <w:ilvl w:val="0"/>
          <w:numId w:val="0"/>
        </w:numPr>
        <w:tabs>
          <w:tab w:val="left" w:pos="426"/>
        </w:tabs>
        <w:spacing w:line="240" w:lineRule="auto"/>
        <w:ind w:leftChars="0"/>
        <w:jc w:val="both"/>
        <w:rPr>
          <w:rFonts w:hint="default" w:ascii="Arial" w:hAnsi="Arial" w:cs="Arial"/>
          <w:b w:val="0"/>
          <w:bCs w:val="0"/>
          <w:sz w:val="18"/>
          <w:szCs w:val="18"/>
        </w:rPr>
      </w:pPr>
    </w:p>
    <w:tbl>
      <w:tblPr>
        <w:tblStyle w:val="5"/>
        <w:tblW w:w="5618" w:type="pct"/>
        <w:jc w:val="center"/>
        <w:tblLayout w:type="autofit"/>
        <w:tblCellMar>
          <w:top w:w="15" w:type="dxa"/>
          <w:left w:w="15" w:type="dxa"/>
          <w:bottom w:w="15" w:type="dxa"/>
          <w:right w:w="15" w:type="dxa"/>
        </w:tblCellMar>
      </w:tblPr>
      <w:tblGrid>
        <w:gridCol w:w="733"/>
        <w:gridCol w:w="4130"/>
        <w:gridCol w:w="1554"/>
        <w:gridCol w:w="846"/>
        <w:gridCol w:w="919"/>
        <w:gridCol w:w="919"/>
        <w:gridCol w:w="919"/>
        <w:gridCol w:w="1070"/>
      </w:tblGrid>
      <w:tr w14:paraId="5A32811A">
        <w:tblPrEx>
          <w:tblCellMar>
            <w:top w:w="15" w:type="dxa"/>
            <w:left w:w="15" w:type="dxa"/>
            <w:bottom w:w="15" w:type="dxa"/>
            <w:right w:w="15" w:type="dxa"/>
          </w:tblCellMar>
        </w:tblPrEx>
        <w:trPr>
          <w:trHeight w:val="243" w:hRule="atLeast"/>
          <w:jc w:val="center"/>
        </w:trPr>
        <w:tc>
          <w:tcPr>
            <w:tcW w:w="330" w:type="pct"/>
            <w:tcBorders>
              <w:top w:val="single" w:color="000000" w:sz="8" w:space="0"/>
              <w:left w:val="single" w:color="000000" w:sz="8" w:space="0"/>
              <w:bottom w:val="single" w:color="auto" w:sz="4" w:space="0"/>
              <w:right w:val="single" w:color="000000" w:sz="8" w:space="0"/>
            </w:tcBorders>
          </w:tcPr>
          <w:p w14:paraId="0CB1811A">
            <w:pPr>
              <w:pStyle w:val="221"/>
              <w:spacing w:after="0" w:line="240" w:lineRule="auto"/>
              <w:ind w:left="0"/>
              <w:jc w:val="center"/>
              <w:rPr>
                <w:rFonts w:hint="default" w:ascii="Arial" w:hAnsi="Arial" w:cs="Arial"/>
                <w:b/>
                <w:sz w:val="18"/>
                <w:szCs w:val="18"/>
              </w:rPr>
            </w:pPr>
            <w:r>
              <w:rPr>
                <w:rFonts w:hint="default" w:ascii="Arial" w:hAnsi="Arial" w:cs="Arial"/>
                <w:b/>
                <w:sz w:val="18"/>
                <w:szCs w:val="18"/>
              </w:rPr>
              <w:t>Item</w:t>
            </w:r>
          </w:p>
        </w:tc>
        <w:tc>
          <w:tcPr>
            <w:tcW w:w="1860"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1F168F22">
            <w:pPr>
              <w:spacing w:after="0" w:line="240" w:lineRule="auto"/>
              <w:jc w:val="center"/>
              <w:rPr>
                <w:rFonts w:hint="default" w:ascii="Arial" w:hAnsi="Arial" w:cs="Arial"/>
                <w:b/>
                <w:sz w:val="18"/>
                <w:szCs w:val="18"/>
              </w:rPr>
            </w:pPr>
            <w:r>
              <w:rPr>
                <w:rFonts w:hint="default" w:ascii="Arial" w:hAnsi="Arial" w:cs="Arial"/>
                <w:b/>
                <w:sz w:val="18"/>
                <w:szCs w:val="18"/>
              </w:rPr>
              <w:t>Descrição</w:t>
            </w:r>
          </w:p>
        </w:tc>
        <w:tc>
          <w:tcPr>
            <w:tcW w:w="700" w:type="pct"/>
            <w:tcBorders>
              <w:top w:val="single" w:color="000000" w:sz="8" w:space="0"/>
              <w:left w:val="single" w:color="000000" w:sz="8" w:space="0"/>
              <w:bottom w:val="single" w:color="auto" w:sz="4" w:space="0"/>
              <w:right w:val="single" w:color="000000" w:sz="8" w:space="0"/>
            </w:tcBorders>
            <w:vAlign w:val="center"/>
          </w:tcPr>
          <w:p w14:paraId="1C673760">
            <w:pPr>
              <w:tabs>
                <w:tab w:val="center" w:pos="4252"/>
                <w:tab w:val="left" w:pos="6660"/>
              </w:tabs>
              <w:spacing w:after="0" w:line="240" w:lineRule="auto"/>
              <w:jc w:val="center"/>
              <w:rPr>
                <w:rFonts w:hint="default" w:ascii="Arial" w:hAnsi="Arial" w:cs="Arial"/>
                <w:b/>
                <w:sz w:val="18"/>
                <w:szCs w:val="18"/>
              </w:rPr>
            </w:pPr>
            <w:r>
              <w:rPr>
                <w:rFonts w:ascii="Arial" w:hAnsi="Arial" w:cs="Arial"/>
                <w:b/>
                <w:sz w:val="18"/>
                <w:szCs w:val="18"/>
              </w:rPr>
              <w:t>Marcas para Referência</w:t>
            </w:r>
          </w:p>
        </w:tc>
        <w:tc>
          <w:tcPr>
            <w:tcW w:w="381" w:type="pct"/>
            <w:tcBorders>
              <w:top w:val="single" w:color="000000" w:sz="8" w:space="0"/>
              <w:left w:val="single" w:color="000000" w:sz="8" w:space="0"/>
              <w:bottom w:val="single" w:color="auto" w:sz="4" w:space="0"/>
              <w:right w:val="single" w:color="000000" w:sz="8" w:space="0"/>
            </w:tcBorders>
          </w:tcPr>
          <w:p w14:paraId="43485F8C">
            <w:pPr>
              <w:spacing w:after="0" w:line="240" w:lineRule="auto"/>
              <w:jc w:val="center"/>
              <w:rPr>
                <w:rFonts w:hint="default" w:ascii="Arial" w:hAnsi="Arial" w:cs="Arial"/>
                <w:b/>
                <w:sz w:val="18"/>
                <w:szCs w:val="18"/>
              </w:rPr>
            </w:pPr>
            <w:r>
              <w:rPr>
                <w:rFonts w:hint="default" w:ascii="Arial" w:hAnsi="Arial" w:cs="Arial"/>
                <w:b/>
                <w:sz w:val="18"/>
                <w:szCs w:val="18"/>
              </w:rPr>
              <w:t>UND</w:t>
            </w:r>
          </w:p>
        </w:tc>
        <w:tc>
          <w:tcPr>
            <w:tcW w:w="414" w:type="pct"/>
            <w:tcBorders>
              <w:top w:val="single" w:color="000000" w:sz="8" w:space="0"/>
              <w:left w:val="single" w:color="000000" w:sz="8" w:space="0"/>
              <w:bottom w:val="single" w:color="auto" w:sz="4" w:space="0"/>
              <w:right w:val="single" w:color="000000" w:sz="8" w:space="0"/>
            </w:tcBorders>
          </w:tcPr>
          <w:p w14:paraId="56E50114">
            <w:pPr>
              <w:spacing w:after="0" w:line="240" w:lineRule="auto"/>
              <w:jc w:val="center"/>
              <w:rPr>
                <w:rFonts w:hint="default" w:ascii="Arial" w:hAnsi="Arial" w:cs="Arial"/>
                <w:b/>
                <w:sz w:val="18"/>
                <w:szCs w:val="18"/>
              </w:rPr>
            </w:pPr>
            <w:r>
              <w:rPr>
                <w:rFonts w:hint="default" w:ascii="Arial" w:hAnsi="Arial" w:cs="Arial"/>
                <w:b/>
                <w:sz w:val="18"/>
                <w:szCs w:val="18"/>
              </w:rPr>
              <w:t>QTD</w:t>
            </w:r>
          </w:p>
        </w:tc>
        <w:tc>
          <w:tcPr>
            <w:tcW w:w="414" w:type="pct"/>
            <w:tcBorders>
              <w:top w:val="single" w:color="000000" w:sz="8" w:space="0"/>
              <w:left w:val="single" w:color="000000" w:sz="8" w:space="0"/>
              <w:bottom w:val="single" w:color="auto" w:sz="4" w:space="0"/>
              <w:right w:val="single" w:color="000000" w:sz="8" w:space="0"/>
            </w:tcBorders>
          </w:tcPr>
          <w:p w14:paraId="3AFF1FE9">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Marca</w:t>
            </w:r>
          </w:p>
        </w:tc>
        <w:tc>
          <w:tcPr>
            <w:tcW w:w="414" w:type="pct"/>
            <w:tcBorders>
              <w:top w:val="single" w:color="000000" w:sz="8" w:space="0"/>
              <w:left w:val="single" w:color="000000" w:sz="8" w:space="0"/>
              <w:bottom w:val="single" w:color="auto" w:sz="4" w:space="0"/>
              <w:right w:val="single" w:color="000000" w:sz="8" w:space="0"/>
            </w:tcBorders>
          </w:tcPr>
          <w:p w14:paraId="64BFEE5F">
            <w:pPr>
              <w:spacing w:after="0" w:line="240" w:lineRule="auto"/>
              <w:jc w:val="center"/>
              <w:rPr>
                <w:rFonts w:hint="default" w:ascii="Arial" w:hAnsi="Arial" w:cs="Arial"/>
                <w:b/>
                <w:sz w:val="18"/>
                <w:szCs w:val="18"/>
              </w:rPr>
            </w:pPr>
            <w:r>
              <w:rPr>
                <w:rFonts w:hint="default" w:ascii="Arial" w:hAnsi="Arial" w:cs="Arial"/>
                <w:b/>
                <w:sz w:val="18"/>
                <w:szCs w:val="18"/>
                <w:lang w:val="pt-BR"/>
              </w:rPr>
              <w:t>Vr. Unit</w:t>
            </w:r>
          </w:p>
        </w:tc>
        <w:tc>
          <w:tcPr>
            <w:tcW w:w="482" w:type="pct"/>
            <w:tcBorders>
              <w:top w:val="single" w:color="000000" w:sz="8" w:space="0"/>
              <w:left w:val="single" w:color="000000" w:sz="8" w:space="0"/>
              <w:bottom w:val="single" w:color="auto" w:sz="4" w:space="0"/>
              <w:right w:val="single" w:color="000000" w:sz="8" w:space="0"/>
            </w:tcBorders>
            <w:shd w:val="clear" w:color="auto" w:fill="auto"/>
          </w:tcPr>
          <w:p w14:paraId="68AE4D7A">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Vr. Total</w:t>
            </w:r>
          </w:p>
        </w:tc>
      </w:tr>
      <w:tr w14:paraId="3FB1517E">
        <w:tblPrEx>
          <w:tblCellMar>
            <w:top w:w="15" w:type="dxa"/>
            <w:left w:w="15" w:type="dxa"/>
            <w:bottom w:w="15" w:type="dxa"/>
            <w:right w:w="15" w:type="dxa"/>
          </w:tblCellMar>
        </w:tblPrEx>
        <w:trPr>
          <w:trHeight w:val="758"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EC1BC50">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2E5459E5">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Dieta Enteral:</w:t>
            </w:r>
            <w:r>
              <w:rPr>
                <w:rFonts w:ascii="Arial" w:hAnsi="Arial" w:cs="Arial"/>
                <w:sz w:val="18"/>
                <w:szCs w:val="18"/>
                <w:shd w:val="clear" w:color="auto" w:fill="FFFFFF"/>
              </w:rPr>
              <w:t xml:space="preserve"> Aspecto Físico: Líquido, uso: enteral ou oral, Características: Hipercalórica, Hiperproteica, fonte de proteína: caseinato e ptnisol.soja e/ou ptnlsol.leite. Fonte de Carboidrato: Xarope Milho E/Ou Sacarose E/Ou Maltodextrina Fonte De Lipídios: Óleos Veg.E/Ou Tcm E/Ou Lec.Soja Componentes Adicionais: Vitaminas E Minerais Características Adicionais: Isenta Lactose E Glúten./ </w:t>
            </w:r>
            <w:r>
              <w:rPr>
                <w:rFonts w:ascii="Arial" w:hAnsi="Arial" w:cs="Arial"/>
                <w:sz w:val="18"/>
                <w:szCs w:val="18"/>
              </w:rPr>
              <w:t>Frasco 1.000ml/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5C9F758A">
            <w:pPr>
              <w:tabs>
                <w:tab w:val="center" w:pos="4252"/>
                <w:tab w:val="left" w:pos="6660"/>
              </w:tabs>
              <w:spacing w:after="0"/>
              <w:jc w:val="center"/>
              <w:rPr>
                <w:rFonts w:hint="default" w:ascii="Arial" w:hAnsi="Arial" w:cs="Arial"/>
                <w:sz w:val="18"/>
                <w:szCs w:val="18"/>
              </w:rPr>
            </w:pPr>
            <w:r>
              <w:rPr>
                <w:rFonts w:ascii="Arial" w:hAnsi="Arial" w:cs="Arial"/>
                <w:bCs/>
                <w:sz w:val="18"/>
                <w:szCs w:val="18"/>
              </w:rPr>
              <w:t>Isosource 1.5</w:t>
            </w:r>
          </w:p>
        </w:tc>
        <w:tc>
          <w:tcPr>
            <w:tcW w:w="381" w:type="pct"/>
            <w:tcBorders>
              <w:top w:val="single" w:color="000000" w:sz="8" w:space="0"/>
              <w:left w:val="single" w:color="000000" w:sz="8" w:space="0"/>
              <w:bottom w:val="single" w:color="000000" w:sz="8" w:space="0"/>
              <w:right w:val="single" w:color="000000" w:sz="8" w:space="0"/>
            </w:tcBorders>
            <w:vAlign w:val="top"/>
          </w:tcPr>
          <w:p w14:paraId="5FFABC36">
            <w:pPr>
              <w:tabs>
                <w:tab w:val="center" w:pos="4252"/>
                <w:tab w:val="left" w:pos="6660"/>
              </w:tabs>
              <w:spacing w:after="0"/>
              <w:jc w:val="center"/>
              <w:rPr>
                <w:rFonts w:ascii="Arial" w:hAnsi="Arial" w:cs="Arial"/>
                <w:sz w:val="18"/>
                <w:szCs w:val="18"/>
              </w:rPr>
            </w:pPr>
            <w:r>
              <w:rPr>
                <w:rFonts w:ascii="Arial" w:hAnsi="Arial" w:cs="Arial"/>
                <w:sz w:val="18"/>
                <w:szCs w:val="18"/>
              </w:rPr>
              <w:t xml:space="preserve">Frasco </w:t>
            </w:r>
          </w:p>
          <w:p w14:paraId="301E0D8C">
            <w:pPr>
              <w:tabs>
                <w:tab w:val="center" w:pos="4252"/>
                <w:tab w:val="left" w:pos="6660"/>
              </w:tabs>
              <w:spacing w:after="0"/>
              <w:jc w:val="center"/>
              <w:rPr>
                <w:rFonts w:hint="default" w:ascii="Arial" w:hAnsi="Arial" w:cs="Arial"/>
                <w:sz w:val="18"/>
                <w:szCs w:val="18"/>
              </w:rPr>
            </w:pPr>
          </w:p>
        </w:tc>
        <w:tc>
          <w:tcPr>
            <w:tcW w:w="919" w:type="dxa"/>
            <w:tcBorders>
              <w:top w:val="single" w:color="000000" w:sz="8" w:space="0"/>
              <w:left w:val="single" w:color="000000" w:sz="8" w:space="0"/>
              <w:bottom w:val="single" w:color="000000" w:sz="8" w:space="0"/>
              <w:right w:val="single" w:color="000000" w:sz="8" w:space="0"/>
            </w:tcBorders>
            <w:vAlign w:val="top"/>
          </w:tcPr>
          <w:p w14:paraId="4EFF40D1">
            <w:pPr>
              <w:tabs>
                <w:tab w:val="center" w:pos="4252"/>
                <w:tab w:val="left" w:pos="6660"/>
              </w:tabs>
              <w:spacing w:after="0"/>
              <w:jc w:val="center"/>
              <w:rPr>
                <w:rFonts w:hint="default" w:ascii="Arial" w:hAnsi="Arial" w:cs="Arial"/>
                <w:sz w:val="18"/>
                <w:szCs w:val="18"/>
              </w:rPr>
            </w:pPr>
            <w:r>
              <w:rPr>
                <w:rFonts w:ascii="Arial" w:hAnsi="Arial" w:cs="Arial"/>
                <w:bCs/>
                <w:sz w:val="18"/>
                <w:szCs w:val="18"/>
              </w:rPr>
              <w:t>700</w:t>
            </w:r>
          </w:p>
        </w:tc>
        <w:tc>
          <w:tcPr>
            <w:tcW w:w="414" w:type="pct"/>
            <w:tcBorders>
              <w:top w:val="single" w:color="000000" w:sz="8" w:space="0"/>
              <w:left w:val="single" w:color="000000" w:sz="8" w:space="0"/>
              <w:bottom w:val="single" w:color="000000" w:sz="8" w:space="0"/>
              <w:right w:val="single" w:color="000000" w:sz="8" w:space="0"/>
            </w:tcBorders>
          </w:tcPr>
          <w:p w14:paraId="5192B1F2">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7BA32436">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7012857F">
            <w:pPr>
              <w:spacing w:after="0" w:line="240" w:lineRule="auto"/>
              <w:jc w:val="center"/>
              <w:rPr>
                <w:rFonts w:hint="default" w:ascii="Arial" w:hAnsi="Arial" w:cs="Arial"/>
                <w:sz w:val="18"/>
                <w:szCs w:val="18"/>
              </w:rPr>
            </w:pPr>
          </w:p>
        </w:tc>
      </w:tr>
      <w:tr w14:paraId="6935BAEF">
        <w:tblPrEx>
          <w:tblCellMar>
            <w:top w:w="15" w:type="dxa"/>
            <w:left w:w="15" w:type="dxa"/>
            <w:bottom w:w="15" w:type="dxa"/>
            <w:right w:w="15" w:type="dxa"/>
          </w:tblCellMar>
        </w:tblPrEx>
        <w:trPr>
          <w:trHeight w:val="622"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AB71F01">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C279D8C">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 xml:space="preserve">Dieta infantil: </w:t>
            </w:r>
            <w:r>
              <w:rPr>
                <w:rFonts w:ascii="Arial" w:hAnsi="Arial" w:cs="Arial"/>
                <w:sz w:val="18"/>
                <w:szCs w:val="18"/>
                <w:shd w:val="clear" w:color="auto" w:fill="FFFFFF"/>
              </w:rPr>
              <w:t xml:space="preserve">Indicação: 0 a 12 meses, aspecto físico: pó, uso: enteral ou oral, fonte de proteína: ptn hidrolisada soro leite, fonte de carboidrato: maltodextrinae, ou lactose e, ou amido, fonte de lipídios: óleos vegetais, componentes adicionais: vitamina e fibras, características adicionais: isento glúten, sacarose e frutose, adicionais: c, lcpufas, prebióticos/ </w:t>
            </w:r>
            <w:r>
              <w:rPr>
                <w:rFonts w:ascii="Arial" w:hAnsi="Arial" w:cs="Arial"/>
                <w:sz w:val="18"/>
                <w:szCs w:val="18"/>
              </w:rPr>
              <w:t>Lata 800g;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73819EE0">
            <w:pPr>
              <w:tabs>
                <w:tab w:val="center" w:pos="4252"/>
                <w:tab w:val="left" w:pos="6660"/>
              </w:tabs>
              <w:spacing w:after="0"/>
              <w:jc w:val="center"/>
              <w:rPr>
                <w:rFonts w:ascii="Arial" w:hAnsi="Arial" w:cs="Arial"/>
                <w:sz w:val="18"/>
                <w:szCs w:val="18"/>
              </w:rPr>
            </w:pPr>
            <w:r>
              <w:rPr>
                <w:rFonts w:ascii="Arial" w:hAnsi="Arial" w:cs="Arial"/>
                <w:bCs/>
                <w:sz w:val="18"/>
                <w:szCs w:val="18"/>
              </w:rPr>
              <w:t>APTAMIL PEPTI</w:t>
            </w:r>
          </w:p>
        </w:tc>
        <w:tc>
          <w:tcPr>
            <w:tcW w:w="381" w:type="pct"/>
            <w:tcBorders>
              <w:top w:val="single" w:color="000000" w:sz="8" w:space="0"/>
              <w:left w:val="single" w:color="000000" w:sz="8" w:space="0"/>
              <w:bottom w:val="single" w:color="000000" w:sz="8" w:space="0"/>
              <w:right w:val="single" w:color="000000" w:sz="8" w:space="0"/>
            </w:tcBorders>
            <w:vAlign w:val="top"/>
          </w:tcPr>
          <w:p w14:paraId="2CB84B7E">
            <w:pPr>
              <w:tabs>
                <w:tab w:val="center" w:pos="4252"/>
                <w:tab w:val="left" w:pos="6660"/>
              </w:tabs>
              <w:spacing w:after="0"/>
              <w:jc w:val="center"/>
              <w:rPr>
                <w:rFonts w:hint="default" w:ascii="Arial" w:hAnsi="Arial" w:cs="Arial"/>
                <w:sz w:val="18"/>
                <w:szCs w:val="18"/>
              </w:rPr>
            </w:pPr>
            <w:r>
              <w:rPr>
                <w:rFonts w:ascii="Arial" w:hAnsi="Arial" w:cs="Arial"/>
                <w:sz w:val="18"/>
                <w:szCs w:val="18"/>
              </w:rPr>
              <w:t xml:space="preserve">Lata </w:t>
            </w:r>
          </w:p>
        </w:tc>
        <w:tc>
          <w:tcPr>
            <w:tcW w:w="919" w:type="dxa"/>
            <w:tcBorders>
              <w:top w:val="single" w:color="000000" w:sz="8" w:space="0"/>
              <w:left w:val="single" w:color="000000" w:sz="8" w:space="0"/>
              <w:bottom w:val="single" w:color="000000" w:sz="8" w:space="0"/>
              <w:right w:val="single" w:color="000000" w:sz="8" w:space="0"/>
            </w:tcBorders>
            <w:vAlign w:val="top"/>
          </w:tcPr>
          <w:p w14:paraId="2F023D70">
            <w:pPr>
              <w:tabs>
                <w:tab w:val="center" w:pos="4252"/>
                <w:tab w:val="left" w:pos="6660"/>
              </w:tabs>
              <w:spacing w:after="0"/>
              <w:jc w:val="center"/>
              <w:rPr>
                <w:rFonts w:hint="default" w:ascii="Arial" w:hAnsi="Arial" w:cs="Arial"/>
                <w:sz w:val="18"/>
                <w:szCs w:val="18"/>
              </w:rPr>
            </w:pPr>
            <w:r>
              <w:rPr>
                <w:rFonts w:ascii="Arial" w:hAnsi="Arial" w:cs="Arial"/>
                <w:bCs/>
                <w:sz w:val="18"/>
                <w:szCs w:val="18"/>
              </w:rPr>
              <w:t>1200</w:t>
            </w:r>
          </w:p>
        </w:tc>
        <w:tc>
          <w:tcPr>
            <w:tcW w:w="414" w:type="pct"/>
            <w:tcBorders>
              <w:top w:val="single" w:color="000000" w:sz="8" w:space="0"/>
              <w:left w:val="single" w:color="000000" w:sz="8" w:space="0"/>
              <w:bottom w:val="single" w:color="000000" w:sz="8" w:space="0"/>
              <w:right w:val="single" w:color="000000" w:sz="8" w:space="0"/>
            </w:tcBorders>
          </w:tcPr>
          <w:p w14:paraId="709A9C01">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7A86166D">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7F9EB9FC">
            <w:pPr>
              <w:spacing w:after="0" w:line="240" w:lineRule="auto"/>
              <w:jc w:val="center"/>
              <w:rPr>
                <w:rFonts w:hint="default" w:ascii="Arial" w:hAnsi="Arial" w:cs="Arial"/>
                <w:sz w:val="18"/>
                <w:szCs w:val="18"/>
              </w:rPr>
            </w:pPr>
          </w:p>
        </w:tc>
      </w:tr>
      <w:tr w14:paraId="70BA3166">
        <w:tblPrEx>
          <w:tblCellMar>
            <w:top w:w="15" w:type="dxa"/>
            <w:left w:w="15" w:type="dxa"/>
            <w:bottom w:w="15" w:type="dxa"/>
            <w:right w:w="15" w:type="dxa"/>
          </w:tblCellMar>
        </w:tblPrEx>
        <w:trPr>
          <w:trHeight w:val="355"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117535F5">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47EAA1A">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 xml:space="preserve">Dieta infantil: </w:t>
            </w:r>
            <w:r>
              <w:rPr>
                <w:rFonts w:ascii="Arial" w:hAnsi="Arial" w:cs="Arial"/>
                <w:sz w:val="18"/>
                <w:szCs w:val="18"/>
                <w:shd w:val="clear" w:color="auto" w:fill="FFFFFF"/>
              </w:rPr>
              <w:t xml:space="preserve">Indicação: 1 a 10 anos de idade. Para pacientes com intolerância gastrintestinal, e/ou com dificuldade na absorção da proteína intacta e que se beneficiam do teor de TCM.   aspecto físico: pó, uso: enteral ou oral, fonte de proteína: ptn hidrolisada soro leite, fonte de carboidrato: maltodextrina e sacarose.  fonte de lipídios: TCM e óleos vegetais, componentes adicionais: vitamina e minerais, características adicionais: isento glúten, lactose/ </w:t>
            </w:r>
            <w:r>
              <w:rPr>
                <w:rFonts w:ascii="Arial" w:hAnsi="Arial" w:cs="Arial"/>
                <w:sz w:val="18"/>
                <w:szCs w:val="18"/>
              </w:rPr>
              <w:t>Lata 400g;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32F6D8F8">
            <w:pPr>
              <w:tabs>
                <w:tab w:val="center" w:pos="4252"/>
                <w:tab w:val="left" w:pos="6660"/>
              </w:tabs>
              <w:spacing w:after="0"/>
              <w:jc w:val="center"/>
              <w:rPr>
                <w:rFonts w:ascii="Arial" w:hAnsi="Arial" w:cs="Arial"/>
                <w:sz w:val="18"/>
                <w:szCs w:val="18"/>
              </w:rPr>
            </w:pPr>
            <w:r>
              <w:rPr>
                <w:rFonts w:ascii="Arial" w:hAnsi="Arial" w:cs="Arial"/>
                <w:bCs/>
                <w:sz w:val="18"/>
                <w:szCs w:val="18"/>
              </w:rPr>
              <w:t>Peptamen Júnior</w:t>
            </w:r>
          </w:p>
        </w:tc>
        <w:tc>
          <w:tcPr>
            <w:tcW w:w="381" w:type="pct"/>
            <w:tcBorders>
              <w:top w:val="single" w:color="000000" w:sz="8" w:space="0"/>
              <w:left w:val="single" w:color="000000" w:sz="8" w:space="0"/>
              <w:bottom w:val="single" w:color="000000" w:sz="8" w:space="0"/>
              <w:right w:val="single" w:color="000000" w:sz="8" w:space="0"/>
            </w:tcBorders>
            <w:vAlign w:val="top"/>
          </w:tcPr>
          <w:p w14:paraId="20ED3AB9">
            <w:pPr>
              <w:tabs>
                <w:tab w:val="center" w:pos="4252"/>
                <w:tab w:val="left" w:pos="6660"/>
              </w:tabs>
              <w:spacing w:after="0"/>
              <w:jc w:val="center"/>
              <w:rPr>
                <w:rFonts w:hint="default" w:ascii="Arial" w:hAnsi="Arial" w:cs="Arial"/>
                <w:sz w:val="18"/>
                <w:szCs w:val="18"/>
              </w:rPr>
            </w:pPr>
            <w:r>
              <w:rPr>
                <w:rFonts w:ascii="Arial" w:hAnsi="Arial" w:cs="Arial"/>
                <w:sz w:val="18"/>
                <w:szCs w:val="18"/>
              </w:rPr>
              <w:t>Lata</w:t>
            </w:r>
          </w:p>
        </w:tc>
        <w:tc>
          <w:tcPr>
            <w:tcW w:w="919" w:type="dxa"/>
            <w:tcBorders>
              <w:top w:val="single" w:color="000000" w:sz="8" w:space="0"/>
              <w:left w:val="single" w:color="000000" w:sz="8" w:space="0"/>
              <w:bottom w:val="single" w:color="000000" w:sz="8" w:space="0"/>
              <w:right w:val="single" w:color="000000" w:sz="8" w:space="0"/>
            </w:tcBorders>
            <w:vAlign w:val="top"/>
          </w:tcPr>
          <w:p w14:paraId="399F207D">
            <w:pPr>
              <w:tabs>
                <w:tab w:val="center" w:pos="4252"/>
                <w:tab w:val="left" w:pos="6660"/>
              </w:tabs>
              <w:spacing w:after="0"/>
              <w:jc w:val="center"/>
              <w:rPr>
                <w:rFonts w:hint="default" w:ascii="Arial" w:hAnsi="Arial" w:cs="Arial"/>
                <w:sz w:val="18"/>
                <w:szCs w:val="18"/>
              </w:rPr>
            </w:pPr>
            <w:r>
              <w:rPr>
                <w:rFonts w:ascii="Arial" w:hAnsi="Arial" w:cs="Arial"/>
                <w:bCs/>
                <w:sz w:val="18"/>
                <w:szCs w:val="18"/>
              </w:rPr>
              <w:t>110</w:t>
            </w:r>
          </w:p>
        </w:tc>
        <w:tc>
          <w:tcPr>
            <w:tcW w:w="414" w:type="pct"/>
            <w:tcBorders>
              <w:top w:val="single" w:color="000000" w:sz="8" w:space="0"/>
              <w:left w:val="single" w:color="000000" w:sz="8" w:space="0"/>
              <w:bottom w:val="single" w:color="000000" w:sz="8" w:space="0"/>
              <w:right w:val="single" w:color="000000" w:sz="8" w:space="0"/>
            </w:tcBorders>
          </w:tcPr>
          <w:p w14:paraId="07C57C69">
            <w:pPr>
              <w:spacing w:after="0" w:line="240" w:lineRule="auto"/>
              <w:jc w:val="center"/>
              <w:rPr>
                <w:rFonts w:hint="default" w:ascii="Arial" w:hAnsi="Arial" w:cs="Arial"/>
                <w:sz w:val="18"/>
                <w:szCs w:val="18"/>
                <w:shd w:val="clear" w:color="auto" w:fill="FFFFFF"/>
              </w:rPr>
            </w:pPr>
          </w:p>
        </w:tc>
        <w:tc>
          <w:tcPr>
            <w:tcW w:w="414" w:type="pct"/>
            <w:tcBorders>
              <w:top w:val="single" w:color="000000" w:sz="8" w:space="0"/>
              <w:left w:val="single" w:color="000000" w:sz="8" w:space="0"/>
              <w:bottom w:val="single" w:color="000000" w:sz="8" w:space="0"/>
              <w:right w:val="single" w:color="000000" w:sz="8" w:space="0"/>
            </w:tcBorders>
          </w:tcPr>
          <w:p w14:paraId="5DD8D164">
            <w:pPr>
              <w:spacing w:after="0" w:line="240" w:lineRule="auto"/>
              <w:jc w:val="center"/>
              <w:rPr>
                <w:rFonts w:hint="default" w:ascii="Arial" w:hAnsi="Arial" w:cs="Arial"/>
                <w:sz w:val="18"/>
                <w:szCs w:val="18"/>
                <w:shd w:val="clear" w:color="auto" w:fill="FFFFFF"/>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02E6673C">
            <w:pPr>
              <w:spacing w:after="0" w:line="240" w:lineRule="auto"/>
              <w:jc w:val="center"/>
              <w:rPr>
                <w:rFonts w:hint="default" w:ascii="Arial" w:hAnsi="Arial" w:cs="Arial"/>
                <w:sz w:val="18"/>
                <w:szCs w:val="18"/>
              </w:rPr>
            </w:pPr>
          </w:p>
        </w:tc>
      </w:tr>
      <w:tr w14:paraId="0B550B72">
        <w:tblPrEx>
          <w:tblCellMar>
            <w:top w:w="15" w:type="dxa"/>
            <w:left w:w="15" w:type="dxa"/>
            <w:bottom w:w="15" w:type="dxa"/>
            <w:right w:w="15" w:type="dxa"/>
          </w:tblCellMar>
        </w:tblPrEx>
        <w:trPr>
          <w:trHeight w:val="845"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469D34E1">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3CF31FDF">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Dieta Infantil:</w:t>
            </w:r>
            <w:r>
              <w:rPr>
                <w:rFonts w:ascii="Arial" w:hAnsi="Arial" w:cs="Arial"/>
                <w:sz w:val="18"/>
                <w:szCs w:val="18"/>
                <w:shd w:val="clear" w:color="auto" w:fill="FFFFFF"/>
              </w:rPr>
              <w:t xml:space="preserve"> maltodextrina, e frutose, C, Aspecto Físico: pó, uso: enteral e/ou oral, fonte de proteína: Ptn Isolada Soja fonte de carboidrato: fonte de lipídios: óleos vegetais componentes adicionais: vitaminas e minerais características adicionais: isento glúten, adicionais: C/ lecitina soja/ Lata 800g; N</w:t>
            </w:r>
            <w:r>
              <w:rPr>
                <w:rFonts w:ascii="Arial" w:hAnsi="Arial" w:cs="Arial"/>
                <w:sz w:val="18"/>
                <w:szCs w:val="18"/>
              </w:rPr>
              <w:t>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70040ADB">
            <w:pPr>
              <w:tabs>
                <w:tab w:val="center" w:pos="4252"/>
                <w:tab w:val="left" w:pos="6660"/>
              </w:tabs>
              <w:spacing w:after="0"/>
              <w:jc w:val="center"/>
              <w:rPr>
                <w:rFonts w:ascii="Arial" w:hAnsi="Arial" w:cs="Arial"/>
                <w:sz w:val="18"/>
                <w:szCs w:val="18"/>
              </w:rPr>
            </w:pPr>
            <w:r>
              <w:rPr>
                <w:rFonts w:ascii="Arial" w:hAnsi="Arial" w:cs="Arial"/>
                <w:bCs/>
                <w:sz w:val="18"/>
                <w:szCs w:val="18"/>
              </w:rPr>
              <w:t>Milnutri Soja</w:t>
            </w:r>
          </w:p>
        </w:tc>
        <w:tc>
          <w:tcPr>
            <w:tcW w:w="381" w:type="pct"/>
            <w:tcBorders>
              <w:top w:val="single" w:color="000000" w:sz="8" w:space="0"/>
              <w:left w:val="single" w:color="000000" w:sz="8" w:space="0"/>
              <w:bottom w:val="single" w:color="000000" w:sz="8" w:space="0"/>
              <w:right w:val="single" w:color="000000" w:sz="8" w:space="0"/>
            </w:tcBorders>
            <w:vAlign w:val="top"/>
          </w:tcPr>
          <w:p w14:paraId="309543AC">
            <w:pPr>
              <w:tabs>
                <w:tab w:val="center" w:pos="4252"/>
                <w:tab w:val="left" w:pos="6660"/>
              </w:tabs>
              <w:spacing w:after="0"/>
              <w:jc w:val="center"/>
              <w:rPr>
                <w:rFonts w:hint="default" w:ascii="Arial" w:hAnsi="Arial" w:cs="Arial"/>
                <w:sz w:val="18"/>
                <w:szCs w:val="18"/>
              </w:rPr>
            </w:pPr>
            <w:r>
              <w:rPr>
                <w:rFonts w:ascii="Arial" w:hAnsi="Arial" w:cs="Arial"/>
                <w:sz w:val="18"/>
                <w:szCs w:val="18"/>
              </w:rPr>
              <w:t>Lata</w:t>
            </w:r>
          </w:p>
        </w:tc>
        <w:tc>
          <w:tcPr>
            <w:tcW w:w="919" w:type="dxa"/>
            <w:tcBorders>
              <w:top w:val="single" w:color="000000" w:sz="8" w:space="0"/>
              <w:left w:val="single" w:color="000000" w:sz="8" w:space="0"/>
              <w:bottom w:val="single" w:color="000000" w:sz="8" w:space="0"/>
              <w:right w:val="single" w:color="000000" w:sz="8" w:space="0"/>
            </w:tcBorders>
            <w:vAlign w:val="top"/>
          </w:tcPr>
          <w:p w14:paraId="4E8C642C">
            <w:pPr>
              <w:tabs>
                <w:tab w:val="center" w:pos="4252"/>
                <w:tab w:val="left" w:pos="6660"/>
              </w:tabs>
              <w:spacing w:after="0"/>
              <w:jc w:val="center"/>
              <w:rPr>
                <w:rFonts w:hint="default" w:ascii="Arial" w:hAnsi="Arial" w:cs="Arial"/>
                <w:sz w:val="18"/>
                <w:szCs w:val="18"/>
              </w:rPr>
            </w:pPr>
            <w:r>
              <w:rPr>
                <w:rFonts w:ascii="Arial" w:hAnsi="Arial" w:cs="Arial"/>
                <w:bCs/>
                <w:sz w:val="18"/>
                <w:szCs w:val="18"/>
              </w:rPr>
              <w:t>145</w:t>
            </w:r>
          </w:p>
        </w:tc>
        <w:tc>
          <w:tcPr>
            <w:tcW w:w="414" w:type="pct"/>
            <w:tcBorders>
              <w:top w:val="single" w:color="000000" w:sz="8" w:space="0"/>
              <w:left w:val="single" w:color="000000" w:sz="8" w:space="0"/>
              <w:bottom w:val="single" w:color="000000" w:sz="8" w:space="0"/>
              <w:right w:val="single" w:color="000000" w:sz="8" w:space="0"/>
            </w:tcBorders>
          </w:tcPr>
          <w:p w14:paraId="76101489">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30B78B10">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3FAD589F">
            <w:pPr>
              <w:spacing w:after="0" w:line="240" w:lineRule="auto"/>
              <w:jc w:val="center"/>
              <w:rPr>
                <w:rFonts w:hint="default" w:ascii="Arial" w:hAnsi="Arial" w:cs="Arial"/>
                <w:sz w:val="18"/>
                <w:szCs w:val="18"/>
              </w:rPr>
            </w:pPr>
          </w:p>
        </w:tc>
      </w:tr>
      <w:tr w14:paraId="718421A4">
        <w:tblPrEx>
          <w:tblCellMar>
            <w:top w:w="15" w:type="dxa"/>
            <w:left w:w="15" w:type="dxa"/>
            <w:bottom w:w="15" w:type="dxa"/>
            <w:right w:w="15" w:type="dxa"/>
          </w:tblCellMar>
        </w:tblPrEx>
        <w:trPr>
          <w:trHeight w:val="240"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B5FF1D7">
            <w:pPr>
              <w:pStyle w:val="221"/>
              <w:numPr>
                <w:ilvl w:val="0"/>
                <w:numId w:val="0"/>
              </w:numPr>
              <w:spacing w:after="0" w:line="240" w:lineRule="auto"/>
              <w:ind w:left="360" w:leftChars="0"/>
              <w:jc w:val="both"/>
              <w:rPr>
                <w:rFonts w:hint="default" w:ascii="Arial" w:hAnsi="Arial" w:cs="Arial"/>
                <w:sz w:val="18"/>
                <w:szCs w:val="18"/>
              </w:rPr>
            </w:pP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C58B089">
            <w:pPr>
              <w:spacing w:after="0" w:line="240" w:lineRule="auto"/>
              <w:jc w:val="both"/>
              <w:rPr>
                <w:rFonts w:hint="default" w:ascii="Arial" w:hAnsi="Arial" w:cs="Arial"/>
                <w:sz w:val="18"/>
                <w:szCs w:val="18"/>
              </w:rPr>
            </w:pPr>
          </w:p>
        </w:tc>
        <w:tc>
          <w:tcPr>
            <w:tcW w:w="700" w:type="pct"/>
            <w:tcBorders>
              <w:top w:val="single" w:color="000000" w:sz="8" w:space="0"/>
              <w:left w:val="single" w:color="000000" w:sz="8" w:space="0"/>
              <w:bottom w:val="single" w:color="000000" w:sz="8" w:space="0"/>
              <w:right w:val="single" w:color="000000" w:sz="8" w:space="0"/>
            </w:tcBorders>
          </w:tcPr>
          <w:p w14:paraId="7366D2ED">
            <w:pPr>
              <w:spacing w:after="0" w:line="240" w:lineRule="auto"/>
              <w:jc w:val="center"/>
              <w:rPr>
                <w:rFonts w:hint="default" w:ascii="Arial" w:hAnsi="Arial" w:cs="Arial"/>
                <w:sz w:val="18"/>
                <w:szCs w:val="18"/>
              </w:rPr>
            </w:pPr>
          </w:p>
        </w:tc>
        <w:tc>
          <w:tcPr>
            <w:tcW w:w="381" w:type="pct"/>
            <w:tcBorders>
              <w:top w:val="single" w:color="000000" w:sz="8" w:space="0"/>
              <w:left w:val="single" w:color="000000" w:sz="8" w:space="0"/>
              <w:bottom w:val="single" w:color="000000" w:sz="8" w:space="0"/>
              <w:right w:val="single" w:color="000000" w:sz="8" w:space="0"/>
            </w:tcBorders>
          </w:tcPr>
          <w:p w14:paraId="7546DA69">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550412F7">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504B6ADC">
            <w:pPr>
              <w:spacing w:after="0" w:line="240" w:lineRule="auto"/>
              <w:jc w:val="center"/>
              <w:rPr>
                <w:rFonts w:hint="default" w:ascii="Arial" w:hAnsi="Arial" w:cs="Arial"/>
                <w:sz w:val="18"/>
                <w:szCs w:val="18"/>
                <w:shd w:val="clear" w:color="auto" w:fill="FFFFFF"/>
              </w:rPr>
            </w:pPr>
          </w:p>
        </w:tc>
        <w:tc>
          <w:tcPr>
            <w:tcW w:w="414" w:type="pct"/>
            <w:tcBorders>
              <w:top w:val="single" w:color="000000" w:sz="8" w:space="0"/>
              <w:left w:val="single" w:color="000000" w:sz="8" w:space="0"/>
              <w:bottom w:val="single" w:color="000000" w:sz="8" w:space="0"/>
              <w:right w:val="single" w:color="000000" w:sz="8" w:space="0"/>
            </w:tcBorders>
          </w:tcPr>
          <w:p w14:paraId="44FCD577">
            <w:pPr>
              <w:spacing w:after="0" w:line="240" w:lineRule="auto"/>
              <w:jc w:val="center"/>
              <w:rPr>
                <w:rFonts w:hint="default" w:ascii="Arial" w:hAnsi="Arial" w:cs="Arial"/>
                <w:b/>
                <w:bCs/>
                <w:sz w:val="18"/>
                <w:szCs w:val="18"/>
                <w:shd w:val="clear" w:color="auto" w:fill="FFFFFF"/>
                <w:lang w:val="pt-BR"/>
              </w:rPr>
            </w:pPr>
            <w:r>
              <w:rPr>
                <w:rFonts w:hint="default" w:ascii="Arial" w:hAnsi="Arial" w:cs="Arial"/>
                <w:b/>
                <w:bCs/>
                <w:sz w:val="18"/>
                <w:szCs w:val="18"/>
                <w:shd w:val="clear" w:color="auto" w:fill="FFFFFF"/>
                <w:lang w:val="pt-BR"/>
              </w:rPr>
              <w:t>TOTAL:</w:t>
            </w: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28731A11">
            <w:pPr>
              <w:spacing w:after="0" w:line="240" w:lineRule="auto"/>
              <w:jc w:val="center"/>
              <w:rPr>
                <w:rFonts w:hint="default" w:ascii="Arial" w:hAnsi="Arial" w:cs="Arial"/>
                <w:sz w:val="18"/>
                <w:szCs w:val="18"/>
              </w:rPr>
            </w:pPr>
          </w:p>
        </w:tc>
      </w:tr>
    </w:tbl>
    <w:p w14:paraId="0028660E">
      <w:pPr>
        <w:pStyle w:val="221"/>
        <w:numPr>
          <w:ilvl w:val="0"/>
          <w:numId w:val="0"/>
        </w:numPr>
        <w:ind w:leftChars="0"/>
        <w:jc w:val="both"/>
        <w:rPr>
          <w:rFonts w:hint="default" w:ascii="Arial" w:hAnsi="Arial" w:cs="Arial"/>
          <w:sz w:val="18"/>
          <w:szCs w:val="18"/>
        </w:rPr>
      </w:pPr>
    </w:p>
    <w:p w14:paraId="0A6951A5">
      <w:pPr>
        <w:pStyle w:val="221"/>
        <w:numPr>
          <w:ilvl w:val="1"/>
          <w:numId w:val="23"/>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7328EDD1">
      <w:pPr>
        <w:pStyle w:val="221"/>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1.2.1 Item 1: 20 - Item 2: 25 - Item 3: 15 - Item 4: 20</w:t>
      </w:r>
    </w:p>
    <w:p w14:paraId="6ADC258D">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1D4FB9E9">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O parcelamento dos itens será conforme a demanda e disponibilidade orçamentária.</w:t>
      </w:r>
    </w:p>
    <w:p w14:paraId="18749F3A">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512BCDF3">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74F50A4D">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24 (vinte e quatro) horas de antecedência para que qualquer pleito de prorrogação de prazo seja analisado. </w:t>
      </w:r>
    </w:p>
    <w:p w14:paraId="29E6EED4">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36D642B6">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48518E7A">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Os Materiais deverão ser entregues acompanhados da nota fiscal. </w:t>
      </w:r>
    </w:p>
    <w:p w14:paraId="167196A8">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41C5CFF3">
      <w:pPr>
        <w:pStyle w:val="306"/>
        <w:keepNext w:val="0"/>
        <w:keepLines w:val="0"/>
        <w:pageBreakBefore w:val="0"/>
        <w:widowControl/>
        <w:numPr>
          <w:ilvl w:val="0"/>
          <w:numId w:val="25"/>
        </w:numPr>
        <w:tabs>
          <w:tab w:val="left" w:pos="0"/>
          <w:tab w:val="left" w:pos="480"/>
          <w:tab w:val="clear" w:pos="420"/>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7E543525">
      <w:pPr>
        <w:keepNext w:val="0"/>
        <w:keepLines w:val="0"/>
        <w:pageBreakBefore w:val="0"/>
        <w:widowControl/>
        <w:numPr>
          <w:ilvl w:val="0"/>
          <w:numId w:val="24"/>
        </w:numPr>
        <w:tabs>
          <w:tab w:val="left" w:pos="0"/>
          <w:tab w:val="left" w:pos="480"/>
          <w:tab w:val="left" w:pos="6972"/>
          <w:tab w:val="clear" w:pos="425"/>
        </w:tabs>
        <w:kinsoku/>
        <w:wordWrap/>
        <w:overflowPunct/>
        <w:topLinePunct w:val="0"/>
        <w:autoSpaceDE/>
        <w:autoSpaceDN/>
        <w:bidi w:val="0"/>
        <w:adjustRightInd/>
        <w:snapToGrid/>
        <w:spacing w:line="240" w:lineRule="auto"/>
        <w:ind w:left="0" w:leftChars="0" w:firstLine="0" w:firstLineChars="0"/>
        <w:jc w:val="both"/>
        <w:textAlignment w:val="auto"/>
        <w:rPr>
          <w:sz w:val="18"/>
          <w:szCs w:val="18"/>
        </w:rPr>
      </w:pPr>
      <w:r>
        <w:rPr>
          <w:rFonts w:hint="default" w:ascii="Arial" w:hAnsi="Arial" w:cs="Arial"/>
          <w:sz w:val="18"/>
          <w:szCs w:val="18"/>
        </w:rPr>
        <w:t>Comunicar antecipadamente a data e horário da entrega</w:t>
      </w:r>
    </w:p>
    <w:p w14:paraId="402CC25D">
      <w:pPr>
        <w:keepNext w:val="0"/>
        <w:keepLines w:val="0"/>
        <w:pageBreakBefore w:val="0"/>
        <w:widowControl/>
        <w:numPr>
          <w:ilvl w:val="0"/>
          <w:numId w:val="24"/>
        </w:numPr>
        <w:tabs>
          <w:tab w:val="left" w:pos="0"/>
          <w:tab w:val="left" w:pos="480"/>
          <w:tab w:val="left" w:pos="6972"/>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465D494B">
      <w:pPr>
        <w:keepNext w:val="0"/>
        <w:keepLines w:val="0"/>
        <w:pageBreakBefore w:val="0"/>
        <w:widowControl/>
        <w:numPr>
          <w:ilvl w:val="0"/>
          <w:numId w:val="24"/>
        </w:numPr>
        <w:tabs>
          <w:tab w:val="left" w:pos="0"/>
          <w:tab w:val="left" w:pos="480"/>
          <w:tab w:val="left" w:pos="6972"/>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w:t>
      </w:r>
    </w:p>
    <w:p w14:paraId="094FC87C">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rPr>
        <w:t>garantia, os produtos que apresentarem defeitos de fabricação.</w:t>
      </w:r>
    </w:p>
    <w:p w14:paraId="600E4D7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2.12 </w:t>
      </w:r>
      <w:r>
        <w:rPr>
          <w:rFonts w:hint="default" w:ascii="Arial" w:hAnsi="Arial" w:eastAsia="LiberationSerif-Bold" w:cs="Arial"/>
          <w:bCs/>
          <w:sz w:val="18"/>
          <w:szCs w:val="18"/>
          <w:lang w:eastAsia="zh-CN"/>
        </w:rPr>
        <w:t xml:space="preserve">O suplemento alimentar para lactentes até 6 (seis) meses de idade deverá atender, no que couber, a RDC nº 42/2011 e acima de 6 (seis) meses, no que couber a RDC nº 222/2002, ambas da ANVISA e posteriores alterações. </w:t>
      </w:r>
    </w:p>
    <w:p w14:paraId="4F946F2F">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2.13 </w:t>
      </w:r>
      <w:r>
        <w:rPr>
          <w:rFonts w:hint="default" w:ascii="Arial" w:hAnsi="Arial" w:eastAsia="LiberationSerif-Bold" w:cs="Arial"/>
          <w:bCs/>
          <w:sz w:val="18"/>
          <w:szCs w:val="18"/>
          <w:lang w:eastAsia="zh-CN"/>
        </w:rPr>
        <w:t xml:space="preserve">Os suplementos alimentares, leites especiais, para atender prescrições médicas de pacientes em tratamento especiais deverão ser fornecidos dentro das normas dispostas na Resolução nº 39/2013 da ANVISA, no que couber e as boas práticas no armazenamento, transporte e entrega dos produtos no local determinado. </w:t>
      </w:r>
    </w:p>
    <w:p w14:paraId="26C1EE12">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2.14 </w:t>
      </w:r>
      <w:r>
        <w:rPr>
          <w:rFonts w:hint="default" w:ascii="Arial" w:hAnsi="Arial" w:eastAsia="LiberationSerif-Bold" w:cs="Arial"/>
          <w:bCs/>
          <w:sz w:val="18"/>
          <w:szCs w:val="18"/>
          <w:lang w:eastAsia="zh-CN"/>
        </w:rPr>
        <w:t xml:space="preserve">Os medicamentos devem ser entregues na embalagem original, em perfeito estado, sem sinais de violação, sem aderência ao produto, umidade, sem inadequação de conteúdo, devidamente identificados, nas condições de temperatura exigida em rótulo, e com o número do registro emitido pela ANVISA. </w:t>
      </w:r>
    </w:p>
    <w:p w14:paraId="424BF982">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2.15 </w:t>
      </w:r>
      <w:r>
        <w:rPr>
          <w:rFonts w:hint="default" w:ascii="Arial" w:hAnsi="Arial" w:eastAsia="LiberationSerif-Bold" w:cs="Arial"/>
          <w:bCs/>
          <w:sz w:val="18"/>
          <w:szCs w:val="18"/>
          <w:lang w:eastAsia="zh-CN"/>
        </w:rPr>
        <w:t xml:space="preserve">Todos os medicamentos, nacionais ou importados, devem ter constado, nos rótulos e bulas, todas as informações em língua portuguesa. As embalagens devem apresentar o nome do farmacêutico responsável pela fabricação do produto, com o respectivo número do Conselho Regional de Farmácia (CRF). Os números dos lotes devem estar especificados na nota fiscal por quantidade de cada medicamento entregue. </w:t>
      </w:r>
    </w:p>
    <w:p w14:paraId="71D371F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2.16 </w:t>
      </w:r>
      <w:r>
        <w:rPr>
          <w:rFonts w:hint="default" w:ascii="Arial" w:hAnsi="Arial" w:eastAsia="LiberationSerif-Bold" w:cs="Arial"/>
          <w:bCs/>
          <w:sz w:val="18"/>
          <w:szCs w:val="18"/>
          <w:lang w:eastAsia="zh-CN"/>
        </w:rPr>
        <w:t xml:space="preserve">A contratada deverá fornecer os produtos com a validade de no mínimo equivalente a 50% do prazo entre a data de fabricação e a data de vencimento. </w:t>
      </w:r>
    </w:p>
    <w:p w14:paraId="7F573527">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2.17 </w:t>
      </w:r>
      <w:r>
        <w:rPr>
          <w:rFonts w:hint="default" w:ascii="Arial" w:hAnsi="Arial" w:eastAsia="LiberationSerif-Bold" w:cs="Arial"/>
          <w:bCs/>
          <w:sz w:val="18"/>
          <w:szCs w:val="18"/>
          <w:lang w:eastAsia="zh-CN"/>
        </w:rPr>
        <w:t xml:space="preserve">Os materiais deverão ser acondicionados em embalagens apropriadas para armazenamento, fazendo constar a descrição do produto e incluindo: marca, data de fabricação e validade, de acordo com as características individuais de cada produto. </w:t>
      </w:r>
    </w:p>
    <w:p w14:paraId="66E3730E">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2.18 </w:t>
      </w:r>
      <w:r>
        <w:rPr>
          <w:rFonts w:hint="default" w:ascii="Arial" w:hAnsi="Arial" w:eastAsia="LiberationSerif-Bold" w:cs="Arial"/>
          <w:bCs/>
          <w:sz w:val="18"/>
          <w:szCs w:val="18"/>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Caso os produtos sejam entregues em desacordo com os requisitos estabelecidos pela Prefeitura, ou em quantidades inferiores ao estabelecido, a empresa deverá substituí-los ou complementá-los em até 5 (cinco) dias. </w:t>
      </w:r>
    </w:p>
    <w:p w14:paraId="5ADEF6B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2.19 </w:t>
      </w:r>
      <w:r>
        <w:rPr>
          <w:rFonts w:hint="default" w:ascii="Arial" w:hAnsi="Arial" w:eastAsia="LiberationSerif-Bold" w:cs="Arial"/>
          <w:bCs/>
          <w:sz w:val="18"/>
          <w:szCs w:val="18"/>
          <w:lang w:eastAsia="zh-CN"/>
        </w:rPr>
        <w:t xml:space="preserve">A licitante vencedora deverá cumprir obrigatoriamente o prazo de </w:t>
      </w:r>
      <w:r>
        <w:rPr>
          <w:rFonts w:hint="default" w:ascii="Arial" w:hAnsi="Arial" w:eastAsia="LiberationSerif-Bold" w:cs="Arial"/>
          <w:bCs/>
          <w:sz w:val="18"/>
          <w:szCs w:val="18"/>
          <w:lang w:val="pt-BR" w:eastAsia="zh-CN"/>
        </w:rPr>
        <w:t>e</w:t>
      </w:r>
      <w:r>
        <w:rPr>
          <w:rFonts w:hint="default" w:ascii="Arial" w:hAnsi="Arial" w:eastAsia="LiberationSerif-Bold" w:cs="Arial"/>
          <w:bCs/>
          <w:sz w:val="18"/>
          <w:szCs w:val="18"/>
          <w:lang w:eastAsia="zh-CN"/>
        </w:rPr>
        <w:t>ntrega, salvo em caso de alterações solicitadas pela Prefeitura, que deverão ser comunicadas num prazo não inferior a 24 horas antes da respectiva entrega. O transporte e a descarga dos produtos nos locais designados correrão por conta exclusiva das empresas vencedoras, sem qualquer custo adicional solicitado posteriormente.</w:t>
      </w:r>
    </w:p>
    <w:p w14:paraId="3836BAF2">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077/2024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6"/>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296592DB">
      <w:pPr>
        <w:pStyle w:val="307"/>
        <w:keepNext w:val="0"/>
        <w:keepLines w:val="0"/>
        <w:pageBreakBefore w:val="0"/>
        <w:widowControl/>
        <w:numPr>
          <w:ilvl w:val="0"/>
          <w:numId w:val="27"/>
        </w:numPr>
        <w:tabs>
          <w:tab w:val="left" w:pos="480"/>
          <w:tab w:val="clear" w:pos="425"/>
        </w:tabs>
        <w:kinsoku/>
        <w:wordWrap/>
        <w:overflowPunct/>
        <w:topLinePunct w:val="0"/>
        <w:bidi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07316F48">
      <w:pPr>
        <w:pStyle w:val="307"/>
        <w:keepNext w:val="0"/>
        <w:keepLines w:val="0"/>
        <w:pageBreakBefore w:val="0"/>
        <w:widowControl/>
        <w:numPr>
          <w:ilvl w:val="0"/>
          <w:numId w:val="27"/>
        </w:numPr>
        <w:tabs>
          <w:tab w:val="left" w:pos="480"/>
          <w:tab w:val="clear" w:pos="425"/>
        </w:tabs>
        <w:kinsoku/>
        <w:wordWrap/>
        <w:overflowPunct/>
        <w:topLinePunct w:val="0"/>
        <w:bidi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7502D123">
      <w:pPr>
        <w:pStyle w:val="307"/>
        <w:keepNext w:val="0"/>
        <w:keepLines w:val="0"/>
        <w:pageBreakBefore w:val="0"/>
        <w:widowControl/>
        <w:numPr>
          <w:ilvl w:val="0"/>
          <w:numId w:val="27"/>
        </w:numPr>
        <w:tabs>
          <w:tab w:val="left" w:pos="284"/>
          <w:tab w:val="left" w:pos="480"/>
          <w:tab w:val="clear" w:pos="425"/>
        </w:tabs>
        <w:kinsoku/>
        <w:wordWrap/>
        <w:overflowPunct/>
        <w:topLinePunct w:val="0"/>
        <w:autoSpaceDE w:val="0"/>
        <w:autoSpaceDN w:val="0"/>
        <w:bidi w:val="0"/>
        <w:adjustRightInd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7EF9C41D">
      <w:pPr>
        <w:pStyle w:val="307"/>
        <w:keepNext w:val="0"/>
        <w:keepLines w:val="0"/>
        <w:pageBreakBefore w:val="0"/>
        <w:widowControl/>
        <w:numPr>
          <w:ilvl w:val="0"/>
          <w:numId w:val="27"/>
        </w:numPr>
        <w:tabs>
          <w:tab w:val="left" w:pos="284"/>
          <w:tab w:val="left" w:pos="480"/>
          <w:tab w:val="clear" w:pos="425"/>
        </w:tabs>
        <w:kinsoku/>
        <w:wordWrap/>
        <w:overflowPunct/>
        <w:topLinePunct w:val="0"/>
        <w:autoSpaceDE w:val="0"/>
        <w:autoSpaceDN w:val="0"/>
        <w:bidi w:val="0"/>
        <w:adjustRightInd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3C1C06DB">
      <w:pPr>
        <w:pStyle w:val="307"/>
        <w:keepNext w:val="0"/>
        <w:keepLines w:val="0"/>
        <w:pageBreakBefore w:val="0"/>
        <w:widowControl/>
        <w:numPr>
          <w:ilvl w:val="0"/>
          <w:numId w:val="27"/>
        </w:numPr>
        <w:tabs>
          <w:tab w:val="left" w:pos="284"/>
          <w:tab w:val="left" w:pos="480"/>
          <w:tab w:val="clear" w:pos="425"/>
        </w:tabs>
        <w:kinsoku/>
        <w:wordWrap/>
        <w:overflowPunct/>
        <w:topLinePunct w:val="0"/>
        <w:autoSpaceDE w:val="0"/>
        <w:autoSpaceDN w:val="0"/>
        <w:bidi w:val="0"/>
        <w:adjustRightInd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1E110530">
      <w:pPr>
        <w:pStyle w:val="307"/>
        <w:keepNext w:val="0"/>
        <w:keepLines w:val="0"/>
        <w:pageBreakBefore w:val="0"/>
        <w:widowControl/>
        <w:numPr>
          <w:ilvl w:val="0"/>
          <w:numId w:val="27"/>
        </w:numPr>
        <w:tabs>
          <w:tab w:val="left" w:pos="284"/>
          <w:tab w:val="left" w:pos="480"/>
          <w:tab w:val="clear" w:pos="425"/>
        </w:tabs>
        <w:kinsoku/>
        <w:wordWrap/>
        <w:overflowPunct/>
        <w:topLinePunct w:val="0"/>
        <w:autoSpaceDE w:val="0"/>
        <w:autoSpaceDN w:val="0"/>
        <w:bidi w:val="0"/>
        <w:adjustRightInd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6CA29DBE">
      <w:pPr>
        <w:pStyle w:val="221"/>
        <w:keepNext w:val="0"/>
        <w:keepLines w:val="0"/>
        <w:pageBreakBefore w:val="0"/>
        <w:widowControl/>
        <w:numPr>
          <w:ilvl w:val="0"/>
          <w:numId w:val="27"/>
        </w:numPr>
        <w:tabs>
          <w:tab w:val="left" w:pos="480"/>
          <w:tab w:val="clear" w:pos="425"/>
        </w:tabs>
        <w:kinsoku/>
        <w:wordWrap/>
        <w:overflowPunct/>
        <w:topLinePunct w:val="0"/>
        <w:autoSpaceDE/>
        <w:autoSpaceDN/>
        <w:bidi w:val="0"/>
        <w:snapToGrid/>
        <w:spacing w:line="240" w:lineRule="auto"/>
        <w:ind w:left="5" w:leftChars="0" w:right="0" w:hanging="5" w:firstLineChars="0"/>
        <w:jc w:val="both"/>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31C27874">
      <w:pPr>
        <w:pStyle w:val="221"/>
        <w:keepNext w:val="0"/>
        <w:keepLines w:val="0"/>
        <w:pageBreakBefore w:val="0"/>
        <w:widowControl/>
        <w:numPr>
          <w:ilvl w:val="0"/>
          <w:numId w:val="0"/>
        </w:numPr>
        <w:kinsoku/>
        <w:wordWrap/>
        <w:overflowPunct/>
        <w:topLinePunct w:val="0"/>
        <w:autoSpaceDE/>
        <w:autoSpaceDN/>
        <w:bidi w:val="0"/>
        <w:snapToGrid/>
        <w:spacing w:line="240" w:lineRule="auto"/>
        <w:ind w:left="0" w:leftChars="0" w:right="0"/>
        <w:jc w:val="both"/>
        <w:textAlignment w:val="auto"/>
        <w:rPr>
          <w:rFonts w:hint="default" w:ascii="Arial" w:hAnsi="Arial" w:cs="Arial"/>
          <w:sz w:val="18"/>
          <w:szCs w:val="18"/>
        </w:rPr>
      </w:pPr>
    </w:p>
    <w:p w14:paraId="292907C6">
      <w:pPr>
        <w:pStyle w:val="221"/>
        <w:keepNext w:val="0"/>
        <w:keepLines w:val="0"/>
        <w:pageBreakBefore w:val="0"/>
        <w:widowControl/>
        <w:numPr>
          <w:ilvl w:val="1"/>
          <w:numId w:val="28"/>
        </w:numPr>
        <w:kinsoku/>
        <w:wordWrap/>
        <w:overflowPunct/>
        <w:topLinePunct w:val="0"/>
        <w:autoSpaceDE/>
        <w:autoSpaceDN/>
        <w:bidi w:val="0"/>
        <w:adjustRightInd/>
        <w:snapToGrid/>
        <w:spacing w:line="240" w:lineRule="auto"/>
        <w:ind w:left="0" w:firstLine="0"/>
        <w:jc w:val="both"/>
        <w:textAlignment w:val="auto"/>
        <w:rPr>
          <w:rFonts w:hint="default" w:ascii="Arial" w:hAnsi="Arial" w:cs="Arial"/>
          <w:b/>
          <w:bCs/>
          <w:sz w:val="18"/>
          <w:szCs w:val="18"/>
        </w:rPr>
      </w:pPr>
      <w:r>
        <w:rPr>
          <w:rFonts w:hint="default" w:ascii="Arial" w:hAnsi="Arial" w:cs="Arial"/>
          <w:b/>
          <w:bCs/>
          <w:sz w:val="18"/>
          <w:szCs w:val="18"/>
        </w:rPr>
        <w:t>Da Contratante:</w:t>
      </w:r>
    </w:p>
    <w:p w14:paraId="31B465D1">
      <w:pPr>
        <w:pStyle w:val="307"/>
        <w:keepNext w:val="0"/>
        <w:keepLines w:val="0"/>
        <w:pageBreakBefore w:val="0"/>
        <w:widowControl/>
        <w:numPr>
          <w:ilvl w:val="0"/>
          <w:numId w:val="29"/>
        </w:numPr>
        <w:tabs>
          <w:tab w:val="left" w:pos="240"/>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 xml:space="preserve">A CONTRATANTE deverá efetuar o pagamento da Nota fiscal nos prazos acordados na Ata. </w:t>
      </w:r>
    </w:p>
    <w:p w14:paraId="2AD12CBA">
      <w:pPr>
        <w:pStyle w:val="307"/>
        <w:keepNext w:val="0"/>
        <w:keepLines w:val="0"/>
        <w:pageBreakBefore w:val="0"/>
        <w:widowControl/>
        <w:numPr>
          <w:ilvl w:val="0"/>
          <w:numId w:val="29"/>
        </w:numPr>
        <w:tabs>
          <w:tab w:val="left" w:pos="24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deverá NOTIFICAR quando necessário a CONTRATADA através do setor de Licitações, fixando-lhe prazo para corrigir irregularidades observadas na execução do objeto;</w:t>
      </w:r>
    </w:p>
    <w:p w14:paraId="38BF0849">
      <w:pPr>
        <w:pStyle w:val="307"/>
        <w:keepNext w:val="0"/>
        <w:keepLines w:val="0"/>
        <w:pageBreakBefore w:val="0"/>
        <w:widowControl/>
        <w:numPr>
          <w:ilvl w:val="0"/>
          <w:numId w:val="29"/>
        </w:numPr>
        <w:tabs>
          <w:tab w:val="left" w:pos="24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não se obriga a realizar a aquisição do quantitativo total;</w:t>
      </w:r>
    </w:p>
    <w:p w14:paraId="3046B6AD">
      <w:pPr>
        <w:pStyle w:val="307"/>
        <w:keepNext w:val="0"/>
        <w:keepLines w:val="0"/>
        <w:pageBreakBefore w:val="0"/>
        <w:widowControl/>
        <w:numPr>
          <w:ilvl w:val="0"/>
          <w:numId w:val="29"/>
        </w:numPr>
        <w:tabs>
          <w:tab w:val="left" w:pos="24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poderá rejeitar, no todo ou em parte, o objeto em desacordo com as especificações e condições deste Termo de Referência.</w:t>
      </w:r>
    </w:p>
    <w:p w14:paraId="435DF95E">
      <w:pPr>
        <w:keepNext w:val="0"/>
        <w:keepLines w:val="0"/>
        <w:pageBreakBefore w:val="0"/>
        <w:widowControl/>
        <w:numPr>
          <w:ilvl w:val="0"/>
          <w:numId w:val="0"/>
        </w:numPr>
        <w:tabs>
          <w:tab w:val="left" w:pos="720"/>
        </w:tabs>
        <w:kinsoku/>
        <w:wordWrap/>
        <w:overflowPunct/>
        <w:topLinePunct w:val="0"/>
        <w:autoSpaceDE/>
        <w:bidi w:val="0"/>
        <w:adjustRightInd/>
        <w:snapToGrid/>
        <w:spacing w:after="0" w:line="240" w:lineRule="auto"/>
        <w:ind w:left="-5" w:leftChars="0"/>
        <w:jc w:val="both"/>
        <w:rPr>
          <w:rFonts w:hint="default" w:ascii="Arial" w:hAnsi="Arial" w:cs="Arial"/>
          <w:sz w:val="18"/>
          <w:szCs w:val="18"/>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6B837B6C">
      <w:pPr>
        <w:spacing w:line="240" w:lineRule="auto"/>
        <w:jc w:val="both"/>
        <w:rPr>
          <w:rFonts w:hint="default" w:ascii="Arial" w:hAnsi="Arial" w:cs="Arial"/>
          <w:b/>
          <w:bCs/>
          <w:sz w:val="18"/>
          <w:szCs w:val="18"/>
        </w:rPr>
      </w:pPr>
    </w:p>
    <w:p w14:paraId="3D606D0C">
      <w:pPr>
        <w:spacing w:line="240" w:lineRule="auto"/>
        <w:jc w:val="both"/>
        <w:rPr>
          <w:rFonts w:hint="default" w:ascii="Arial" w:hAnsi="Arial" w:cs="Arial"/>
          <w:b/>
          <w:bCs/>
          <w:sz w:val="18"/>
          <w:szCs w:val="18"/>
        </w:rPr>
      </w:pPr>
    </w:p>
    <w:p w14:paraId="2B1D11A0">
      <w:pPr>
        <w:spacing w:line="240" w:lineRule="auto"/>
        <w:jc w:val="both"/>
        <w:rPr>
          <w:rFonts w:hint="default" w:ascii="Arial" w:hAnsi="Arial" w:cs="Arial"/>
          <w:b/>
          <w:bCs/>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previsto e indicado na autorização de fornecimento e nota de empenho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p w14:paraId="69491C5F">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textAlignment w:val="auto"/>
        <w:rPr>
          <w:rFonts w:hint="default" w:ascii="Arial" w:hAnsi="Arial" w:cs="Arial"/>
          <w:b w:val="0"/>
          <w:bCs w:val="0"/>
          <w:color w:val="222222"/>
          <w:sz w:val="18"/>
          <w:szCs w:val="18"/>
        </w:rPr>
      </w:pPr>
      <w:r>
        <w:rPr>
          <w:rFonts w:hint="default" w:ascii="Arial" w:hAnsi="Arial" w:cs="Arial"/>
          <w:b w:val="0"/>
          <w:bCs w:val="0"/>
          <w:sz w:val="18"/>
          <w:szCs w:val="18"/>
        </w:rPr>
        <w:t xml:space="preserve">02.08 – SECRETARIA DE SAÚDE </w:t>
      </w:r>
      <w:r>
        <w:rPr>
          <w:rFonts w:hint="default" w:ascii="Arial" w:hAnsi="Arial" w:cs="Arial"/>
          <w:b w:val="0"/>
          <w:bCs w:val="0"/>
          <w:sz w:val="18"/>
          <w:szCs w:val="18"/>
          <w:lang w:val="pt-BR"/>
        </w:rPr>
        <w:t xml:space="preserve"> - </w:t>
      </w:r>
      <w:r>
        <w:rPr>
          <w:rFonts w:hint="default" w:ascii="Arial" w:hAnsi="Arial" w:cs="Arial"/>
          <w:b w:val="0"/>
          <w:bCs w:val="0"/>
          <w:sz w:val="18"/>
          <w:szCs w:val="18"/>
        </w:rPr>
        <w:t>10.122.0000.0.008 – Cumprimento de Sentenças Judiciais na Área da Saúde</w:t>
      </w:r>
    </w:p>
    <w:p w14:paraId="7CAEE6DB">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color w:val="222222"/>
          <w:sz w:val="18"/>
          <w:szCs w:val="18"/>
          <w:lang w:val="pt-PT"/>
        </w:rPr>
      </w:pPr>
      <w:r>
        <w:rPr>
          <w:rFonts w:hint="default" w:ascii="Arial" w:hAnsi="Arial" w:cs="Arial"/>
          <w:sz w:val="18"/>
          <w:szCs w:val="18"/>
        </w:rPr>
        <w:t>3.3.90.91.00.00.00.00 01.0500 – Sentenças Judiciais</w:t>
      </w:r>
      <w:r>
        <w:rPr>
          <w:rFonts w:hint="default" w:ascii="Arial" w:hAnsi="Arial" w:cs="Arial"/>
          <w:color w:val="222222"/>
          <w:sz w:val="18"/>
          <w:szCs w:val="18"/>
          <w:lang w:val="pt-PT"/>
        </w:rPr>
        <w:t> (Ficha 488)</w:t>
      </w:r>
    </w:p>
    <w:p w14:paraId="3E8EA5F8">
      <w:pPr>
        <w:spacing w:line="240" w:lineRule="auto"/>
        <w:jc w:val="both"/>
        <w:rPr>
          <w:rFonts w:hint="default" w:ascii="Arial" w:hAnsi="Arial" w:cs="Arial"/>
          <w:b w:val="0"/>
          <w:bCs w:val="0"/>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u w:val="none"/>
          <w:shd w:val="clear" w:color="auto" w:fill="auto"/>
          <w:lang w:val="pt-BR"/>
        </w:rPr>
      </w:pPr>
      <w:r>
        <w:rPr>
          <w:rFonts w:hint="default" w:ascii="Arial" w:hAnsi="Arial" w:cs="Arial"/>
          <w:b/>
          <w:bCs w:val="0"/>
          <w:sz w:val="18"/>
          <w:szCs w:val="18"/>
          <w:u w:val="none"/>
          <w:shd w:val="clear" w:color="auto" w:fill="auto"/>
          <w:lang w:val="pt-BR"/>
        </w:rPr>
        <w:t>7.2.1 A empresa fica desobrigada a apresentar os documentos acima, desde que as certidões estejam válidas no SICAF, onde o contratante poderá consultar.</w:t>
      </w:r>
    </w:p>
    <w:p w14:paraId="668C3AC2">
      <w:pPr>
        <w:spacing w:line="240" w:lineRule="auto"/>
        <w:jc w:val="both"/>
        <w:rPr>
          <w:rFonts w:hint="default" w:ascii="Arial" w:hAnsi="Arial" w:cs="Arial"/>
          <w:b w:val="0"/>
          <w:bCs w:val="0"/>
          <w:sz w:val="18"/>
          <w:szCs w:val="18"/>
          <w:lang w:val="pt-BR"/>
        </w:rPr>
      </w:pPr>
      <w:r>
        <w:rPr>
          <w:rFonts w:hint="default" w:ascii="Arial" w:cs="Arial"/>
          <w:b/>
          <w:bCs w:val="0"/>
          <w:sz w:val="18"/>
          <w:szCs w:val="18"/>
          <w:u w:val="none"/>
          <w:lang w:val="pt-BR"/>
        </w:rPr>
        <w:t xml:space="preserve">7.2.1.2 </w:t>
      </w:r>
      <w:r>
        <w:rPr>
          <w:rFonts w:hint="default" w:ascii="Arial" w:hAnsi="Arial" w:cs="Arial"/>
          <w:b/>
          <w:bCs w:val="0"/>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bCs w:val="0"/>
          <w:sz w:val="18"/>
          <w:szCs w:val="18"/>
          <w:u w:val="none"/>
        </w:rPr>
        <w:fldChar w:fldCharType="begin"/>
      </w:r>
      <w:r>
        <w:rPr>
          <w:rFonts w:hint="default" w:ascii="Arial" w:hAnsi="Arial" w:cs="Arial"/>
          <w:b/>
          <w:bCs w:val="0"/>
          <w:sz w:val="18"/>
          <w:szCs w:val="18"/>
          <w:u w:val="none"/>
        </w:rPr>
        <w:instrText xml:space="preserve"> HYPERLINK "https://www.gov.br/compras/pt-br/acesso-a-informacao/legislacao/instrucoes-normativas/instrucao-normativa-no-3-de-26-de-abril-de-2018" </w:instrText>
      </w:r>
      <w:r>
        <w:rPr>
          <w:rFonts w:hint="default" w:ascii="Arial" w:hAnsi="Arial" w:cs="Arial"/>
          <w:b/>
          <w:bCs w:val="0"/>
          <w:sz w:val="18"/>
          <w:szCs w:val="18"/>
          <w:u w:val="none"/>
        </w:rPr>
        <w:fldChar w:fldCharType="separate"/>
      </w:r>
      <w:r>
        <w:rPr>
          <w:rStyle w:val="325"/>
          <w:rFonts w:hint="default" w:ascii="Arial" w:hAnsi="Arial" w:cs="Arial"/>
          <w:b/>
          <w:bCs w:val="0"/>
          <w:sz w:val="18"/>
          <w:szCs w:val="18"/>
          <w:u w:val="none"/>
        </w:rPr>
        <w:t xml:space="preserve">IN nº 3/2018, art. 7º, </w:t>
      </w:r>
      <w:r>
        <w:rPr>
          <w:rStyle w:val="325"/>
          <w:rFonts w:hint="default" w:ascii="Arial" w:hAnsi="Arial" w:cs="Arial"/>
          <w:b/>
          <w:bCs w:val="0"/>
          <w:i/>
          <w:iCs/>
          <w:sz w:val="18"/>
          <w:szCs w:val="18"/>
          <w:u w:val="none"/>
        </w:rPr>
        <w:t>caput</w:t>
      </w:r>
      <w:r>
        <w:rPr>
          <w:rStyle w:val="325"/>
          <w:rFonts w:hint="default" w:ascii="Arial" w:hAnsi="Arial" w:cs="Arial"/>
          <w:b/>
          <w:bCs w:val="0"/>
          <w:i/>
          <w:iCs/>
          <w:sz w:val="18"/>
          <w:szCs w:val="18"/>
          <w:u w:val="none"/>
        </w:rPr>
        <w:fldChar w:fldCharType="end"/>
      </w:r>
      <w:r>
        <w:rPr>
          <w:rStyle w:val="325"/>
          <w:rFonts w:hint="default" w:ascii="Arial" w:hAnsi="Arial" w:cs="Arial"/>
          <w:b/>
          <w:bCs w:val="0"/>
          <w:i/>
          <w:iCs/>
          <w:sz w:val="18"/>
          <w:szCs w:val="18"/>
          <w:u w:val="none"/>
          <w:lang w:val="pt-BR"/>
        </w:rPr>
        <w:t>).</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31"/>
        </w:numPr>
        <w:contextualSpacing w:val="0"/>
        <w:jc w:val="both"/>
        <w:rPr>
          <w:rFonts w:hint="default" w:ascii="Arial" w:hAnsi="Arial" w:cs="Arial" w:eastAsiaTheme="minorHAnsi"/>
          <w:vanish/>
          <w:sz w:val="18"/>
          <w:szCs w:val="18"/>
          <w:lang w:eastAsia="en-US"/>
        </w:rPr>
      </w:pPr>
    </w:p>
    <w:p w14:paraId="5DC94584">
      <w:pPr>
        <w:pStyle w:val="221"/>
        <w:numPr>
          <w:ilvl w:val="0"/>
          <w:numId w:val="31"/>
        </w:numPr>
        <w:contextualSpacing w:val="0"/>
        <w:jc w:val="both"/>
        <w:rPr>
          <w:rFonts w:hint="default" w:ascii="Arial" w:hAnsi="Arial" w:cs="Arial" w:eastAsiaTheme="minorHAnsi"/>
          <w:vanish/>
          <w:sz w:val="18"/>
          <w:szCs w:val="18"/>
          <w:lang w:eastAsia="en-US"/>
        </w:rPr>
      </w:pPr>
    </w:p>
    <w:p w14:paraId="5E51E695">
      <w:pPr>
        <w:pStyle w:val="221"/>
        <w:numPr>
          <w:ilvl w:val="0"/>
          <w:numId w:val="31"/>
        </w:numPr>
        <w:contextualSpacing w:val="0"/>
        <w:jc w:val="both"/>
        <w:rPr>
          <w:rFonts w:hint="default" w:ascii="Arial" w:hAnsi="Arial" w:cs="Arial" w:eastAsiaTheme="minorHAnsi"/>
          <w:vanish/>
          <w:sz w:val="18"/>
          <w:szCs w:val="18"/>
          <w:lang w:eastAsia="en-US"/>
        </w:rPr>
      </w:pPr>
    </w:p>
    <w:p w14:paraId="10AD27CC">
      <w:pPr>
        <w:pStyle w:val="221"/>
        <w:numPr>
          <w:ilvl w:val="0"/>
          <w:numId w:val="31"/>
        </w:numPr>
        <w:contextualSpacing w:val="0"/>
        <w:jc w:val="both"/>
        <w:rPr>
          <w:rFonts w:hint="default" w:ascii="Arial" w:hAnsi="Arial" w:cs="Arial" w:eastAsiaTheme="minorHAnsi"/>
          <w:vanish/>
          <w:sz w:val="18"/>
          <w:szCs w:val="18"/>
          <w:lang w:eastAsia="en-US"/>
        </w:rPr>
      </w:pPr>
    </w:p>
    <w:p w14:paraId="48D79844">
      <w:pPr>
        <w:pStyle w:val="221"/>
        <w:numPr>
          <w:ilvl w:val="0"/>
          <w:numId w:val="31"/>
        </w:numPr>
        <w:contextualSpacing w:val="0"/>
        <w:jc w:val="both"/>
        <w:rPr>
          <w:rFonts w:hint="default" w:ascii="Arial" w:hAnsi="Arial" w:cs="Arial" w:eastAsiaTheme="minorHAnsi"/>
          <w:vanish/>
          <w:sz w:val="18"/>
          <w:szCs w:val="18"/>
          <w:lang w:eastAsia="en-US"/>
        </w:rPr>
      </w:pPr>
    </w:p>
    <w:p w14:paraId="65A38D87">
      <w:pPr>
        <w:pStyle w:val="221"/>
        <w:numPr>
          <w:ilvl w:val="0"/>
          <w:numId w:val="31"/>
        </w:numPr>
        <w:contextualSpacing w:val="0"/>
        <w:jc w:val="both"/>
        <w:rPr>
          <w:rFonts w:hint="default" w:ascii="Arial" w:hAnsi="Arial" w:cs="Arial" w:eastAsiaTheme="minorHAnsi"/>
          <w:vanish/>
          <w:sz w:val="18"/>
          <w:szCs w:val="18"/>
          <w:lang w:eastAsia="en-US"/>
        </w:rPr>
      </w:pPr>
    </w:p>
    <w:p w14:paraId="3371370D">
      <w:pPr>
        <w:pStyle w:val="221"/>
        <w:numPr>
          <w:ilvl w:val="0"/>
          <w:numId w:val="31"/>
        </w:numPr>
        <w:contextualSpacing w:val="0"/>
        <w:jc w:val="both"/>
        <w:rPr>
          <w:rFonts w:hint="default" w:ascii="Arial" w:hAnsi="Arial" w:cs="Arial" w:eastAsiaTheme="minorHAnsi"/>
          <w:vanish/>
          <w:sz w:val="18"/>
          <w:szCs w:val="18"/>
          <w:lang w:eastAsia="en-US"/>
        </w:rPr>
      </w:pPr>
    </w:p>
    <w:p w14:paraId="7F38C0A5">
      <w:pPr>
        <w:pStyle w:val="221"/>
        <w:numPr>
          <w:ilvl w:val="0"/>
          <w:numId w:val="31"/>
        </w:numPr>
        <w:contextualSpacing w:val="0"/>
        <w:jc w:val="both"/>
        <w:rPr>
          <w:rFonts w:hint="default" w:ascii="Arial" w:hAnsi="Arial" w:cs="Arial" w:eastAsiaTheme="minorHAnsi"/>
          <w:vanish/>
          <w:sz w:val="18"/>
          <w:szCs w:val="18"/>
          <w:lang w:eastAsia="en-US"/>
        </w:rPr>
      </w:pPr>
    </w:p>
    <w:p w14:paraId="6AE263D5">
      <w:pPr>
        <w:pStyle w:val="221"/>
        <w:numPr>
          <w:ilvl w:val="1"/>
          <w:numId w:val="31"/>
        </w:numPr>
        <w:contextualSpacing w:val="0"/>
        <w:jc w:val="both"/>
        <w:rPr>
          <w:rFonts w:hint="default" w:ascii="Arial" w:hAnsi="Arial" w:cs="Arial" w:eastAsiaTheme="minorHAnsi"/>
          <w:vanish/>
          <w:sz w:val="18"/>
          <w:szCs w:val="18"/>
          <w:lang w:eastAsia="en-US"/>
        </w:rPr>
      </w:pPr>
    </w:p>
    <w:p w14:paraId="3A6CB81F">
      <w:pPr>
        <w:pStyle w:val="317"/>
        <w:numPr>
          <w:ilvl w:val="2"/>
          <w:numId w:val="31"/>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2"/>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3"/>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797CEB19">
      <w:pPr>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12835E7B">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37668982">
      <w:pPr>
        <w:numPr>
          <w:ilvl w:val="0"/>
          <w:numId w:val="34"/>
        </w:numPr>
        <w:spacing w:after="0" w:line="240" w:lineRule="auto"/>
        <w:ind w:left="420" w:leftChars="0" w:hanging="420" w:firstLineChars="0"/>
        <w:jc w:val="both"/>
        <w:rPr>
          <w:rFonts w:hint="default" w:ascii="Arial" w:hAnsi="Arial" w:cs="Arial" w:eastAsiaTheme="minorHAnsi"/>
          <w:b/>
          <w:color w:val="000000"/>
          <w:sz w:val="18"/>
          <w:szCs w:val="18"/>
          <w:lang w:eastAsia="en-US"/>
        </w:rPr>
      </w:pPr>
      <w:r>
        <w:rPr>
          <w:rFonts w:ascii="Arial" w:hAnsi="Arial" w:cs="Arial" w:eastAsiaTheme="majorEastAsia"/>
          <w:sz w:val="18"/>
          <w:szCs w:val="18"/>
        </w:rPr>
        <w:t>Lais Aparecida de Resende Rodrigues Beto</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1B59DB9E">
      <w:pPr>
        <w:jc w:val="center"/>
        <w:rPr>
          <w:rFonts w:ascii="Arial" w:hAnsi="Arial" w:cs="Arial"/>
          <w:b/>
          <w:bCs/>
          <w:sz w:val="26"/>
          <w:szCs w:val="26"/>
        </w:rPr>
      </w:pPr>
    </w:p>
    <w:p w14:paraId="2451A5CF">
      <w:pPr>
        <w:jc w:val="center"/>
        <w:rPr>
          <w:rFonts w:ascii="Arial" w:hAnsi="Arial" w:cs="Arial"/>
          <w:b/>
          <w:bCs/>
          <w:sz w:val="26"/>
          <w:szCs w:val="26"/>
        </w:rPr>
      </w:pPr>
    </w:p>
    <w:p w14:paraId="219591C1">
      <w:pPr>
        <w:jc w:val="center"/>
        <w:rPr>
          <w:rFonts w:ascii="Arial" w:hAnsi="Arial" w:cs="Arial"/>
          <w:b/>
          <w:bCs/>
          <w:sz w:val="26"/>
          <w:szCs w:val="26"/>
        </w:rPr>
      </w:pPr>
    </w:p>
    <w:p w14:paraId="69A774B6">
      <w:pPr>
        <w:jc w:val="center"/>
        <w:rPr>
          <w:rFonts w:ascii="Arial" w:hAnsi="Arial" w:cs="Arial"/>
          <w:b/>
          <w:bCs/>
          <w:sz w:val="26"/>
          <w:szCs w:val="26"/>
        </w:rPr>
      </w:pPr>
    </w:p>
    <w:p w14:paraId="5A953B32">
      <w:pPr>
        <w:jc w:val="center"/>
        <w:rPr>
          <w:rFonts w:ascii="Arial" w:hAnsi="Arial" w:cs="Arial"/>
          <w:b/>
          <w:bCs/>
          <w:sz w:val="26"/>
          <w:szCs w:val="26"/>
        </w:rPr>
      </w:pPr>
    </w:p>
    <w:p w14:paraId="319E9664">
      <w:pPr>
        <w:jc w:val="center"/>
        <w:rPr>
          <w:rFonts w:ascii="Arial" w:hAnsi="Arial" w:cs="Arial"/>
          <w:b/>
          <w:bCs/>
          <w:sz w:val="26"/>
          <w:szCs w:val="26"/>
        </w:rPr>
      </w:pPr>
    </w:p>
    <w:p w14:paraId="0DB4D7FD">
      <w:pPr>
        <w:jc w:val="center"/>
        <w:rPr>
          <w:rFonts w:ascii="Arial" w:hAnsi="Arial" w:cs="Arial"/>
          <w:b/>
          <w:bCs/>
          <w:sz w:val="26"/>
          <w:szCs w:val="26"/>
        </w:rPr>
      </w:pPr>
    </w:p>
    <w:p w14:paraId="5F7D09D7">
      <w:pPr>
        <w:jc w:val="center"/>
        <w:rPr>
          <w:rFonts w:ascii="Arial" w:hAnsi="Arial" w:cs="Arial"/>
          <w:b/>
          <w:bCs/>
          <w:sz w:val="26"/>
          <w:szCs w:val="26"/>
        </w:rPr>
      </w:pPr>
    </w:p>
    <w:p w14:paraId="03264CDC">
      <w:pPr>
        <w:jc w:val="center"/>
        <w:rPr>
          <w:rFonts w:ascii="Arial" w:hAnsi="Arial" w:cs="Arial"/>
          <w:b/>
          <w:bCs/>
          <w:sz w:val="26"/>
          <w:szCs w:val="26"/>
        </w:rPr>
      </w:pPr>
    </w:p>
    <w:p w14:paraId="4D75F8AC">
      <w:pPr>
        <w:jc w:val="center"/>
        <w:rPr>
          <w:rFonts w:ascii="Arial" w:hAnsi="Arial" w:cs="Arial"/>
          <w:b/>
          <w:bCs/>
          <w:sz w:val="26"/>
          <w:szCs w:val="26"/>
        </w:rPr>
      </w:pPr>
    </w:p>
    <w:p w14:paraId="2FC2A8EC">
      <w:pPr>
        <w:jc w:val="center"/>
        <w:rPr>
          <w:rFonts w:ascii="Arial" w:hAnsi="Arial" w:cs="Arial"/>
          <w:b/>
          <w:bCs/>
          <w:sz w:val="26"/>
          <w:szCs w:val="26"/>
        </w:rPr>
      </w:pPr>
    </w:p>
    <w:p w14:paraId="2DA8FE08">
      <w:pPr>
        <w:jc w:val="center"/>
        <w:rPr>
          <w:rFonts w:ascii="Arial" w:hAnsi="Arial" w:cs="Arial"/>
          <w:b/>
          <w:bCs/>
          <w:sz w:val="26"/>
          <w:szCs w:val="26"/>
        </w:rPr>
      </w:pPr>
    </w:p>
    <w:p w14:paraId="773C83A5">
      <w:pPr>
        <w:jc w:val="center"/>
        <w:rPr>
          <w:rFonts w:ascii="Arial" w:hAnsi="Arial" w:cs="Arial"/>
          <w:b/>
          <w:bCs/>
          <w:sz w:val="26"/>
          <w:szCs w:val="26"/>
        </w:rPr>
      </w:pPr>
    </w:p>
    <w:p w14:paraId="4624D4C6">
      <w:pPr>
        <w:jc w:val="center"/>
        <w:rPr>
          <w:rFonts w:ascii="Arial" w:hAnsi="Arial" w:cs="Arial"/>
          <w:b/>
          <w:bCs/>
          <w:sz w:val="26"/>
          <w:szCs w:val="26"/>
        </w:rPr>
      </w:pPr>
    </w:p>
    <w:p w14:paraId="73D055EA">
      <w:pPr>
        <w:jc w:val="center"/>
        <w:rPr>
          <w:rFonts w:ascii="Arial" w:hAnsi="Arial" w:cs="Arial"/>
          <w:b/>
          <w:bCs/>
          <w:sz w:val="26"/>
          <w:szCs w:val="26"/>
        </w:rPr>
      </w:pPr>
    </w:p>
    <w:p w14:paraId="3C3B7539">
      <w:pPr>
        <w:jc w:val="center"/>
        <w:rPr>
          <w:rFonts w:ascii="Arial" w:hAnsi="Arial" w:cs="Arial"/>
          <w:b/>
          <w:bCs/>
          <w:sz w:val="26"/>
          <w:szCs w:val="26"/>
        </w:rPr>
      </w:pPr>
    </w:p>
    <w:p w14:paraId="5B6C9409">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056/2024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45511356">
      <w:pPr>
        <w:jc w:val="center"/>
        <w:rPr>
          <w:rFonts w:ascii="Arial" w:hAnsi="Arial" w:cs="Arial"/>
          <w:b/>
          <w:bCs/>
          <w:sz w:val="26"/>
          <w:szCs w:val="26"/>
        </w:rPr>
      </w:pPr>
    </w:p>
    <w:p w14:paraId="2D85083C">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6450CA9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229F31F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6D55549E">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F21F9EF">
      <w:pPr>
        <w:jc w:val="center"/>
        <w:rPr>
          <w:rFonts w:ascii="Arial" w:hAnsi="Arial" w:cs="Arial"/>
          <w:b/>
          <w:bCs/>
          <w:sz w:val="26"/>
          <w:szCs w:val="26"/>
        </w:rPr>
      </w:pPr>
    </w:p>
    <w:p w14:paraId="6771804F">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0366D88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1E85CF7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78E0FCB1">
      <w:pPr>
        <w:spacing w:line="200" w:lineRule="atLeast"/>
        <w:jc w:val="center"/>
        <w:rPr>
          <w:rFonts w:ascii="Arial" w:hAnsi="Arial" w:cs="Arial"/>
          <w:b/>
          <w:bCs/>
          <w:lang w:val="pt-BR"/>
        </w:rPr>
      </w:pPr>
      <w:r>
        <w:rPr>
          <w:rFonts w:ascii="Arial" w:hAnsi="Arial" w:cs="Arial"/>
          <w:b/>
          <w:bCs/>
        </w:rPr>
        <w:t xml:space="preserve">Registro de Preços n° </w:t>
      </w:r>
      <w:r>
        <w:rPr>
          <w:rFonts w:ascii="Arial" w:hAnsi="Arial" w:cs="Arial"/>
          <w:b/>
          <w:bCs/>
          <w:lang w:val="pt-BR"/>
        </w:rPr>
        <w:t>056/2024</w:t>
      </w:r>
    </w:p>
    <w:p w14:paraId="7CF2621B">
      <w:pPr>
        <w:spacing w:line="200" w:lineRule="atLeast"/>
        <w:jc w:val="center"/>
        <w:rPr>
          <w:rFonts w:ascii="Arial" w:hAnsi="Arial" w:cs="Arial"/>
          <w:b/>
          <w:bCs/>
          <w:lang w:val="pt-BR"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1328AFF1">
      <w:pPr>
        <w:jc w:val="center"/>
        <w:rPr>
          <w:rFonts w:ascii="Arial" w:hAnsi="Arial" w:cs="Arial"/>
          <w:b/>
          <w:bCs/>
          <w:sz w:val="26"/>
          <w:szCs w:val="26"/>
        </w:rPr>
      </w:pPr>
    </w:p>
    <w:p w14:paraId="5BBE3CB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C6A404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5E85A8F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3539E728">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72AE1D6B">
      <w:pPr>
        <w:jc w:val="center"/>
        <w:rPr>
          <w:rFonts w:ascii="Arial" w:hAnsi="Arial" w:cs="Arial"/>
          <w:b/>
          <w:bCs/>
          <w:sz w:val="26"/>
          <w:szCs w:val="26"/>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018CB6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0269F93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27DD42BD">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10009009">
      <w:pPr>
        <w:jc w:val="center"/>
        <w:rPr>
          <w:rFonts w:ascii="Arial" w:hAnsi="Arial" w:cs="Arial"/>
          <w:b/>
          <w:bCs/>
          <w:sz w:val="26"/>
          <w:szCs w:val="26"/>
        </w:rPr>
      </w:pPr>
    </w:p>
    <w:p w14:paraId="306103FF">
      <w:pPr>
        <w:jc w:val="center"/>
        <w:rPr>
          <w:rFonts w:ascii="Arial" w:hAnsi="Arial" w:cs="Arial"/>
          <w:b/>
          <w:bCs/>
          <w:sz w:val="26"/>
          <w:szCs w:val="26"/>
        </w:rPr>
      </w:pPr>
    </w:p>
    <w:p w14:paraId="18F8CED5">
      <w:pPr>
        <w:jc w:val="center"/>
        <w:rPr>
          <w:rFonts w:ascii="Arial" w:hAnsi="Arial" w:cs="Arial"/>
          <w:b/>
          <w:bCs/>
          <w:sz w:val="26"/>
          <w:szCs w:val="26"/>
        </w:rPr>
      </w:pPr>
    </w:p>
    <w:p w14:paraId="204C8EE2">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5FC761D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4C900F6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346FC12A">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7652F0F4">
      <w:pPr>
        <w:spacing w:line="200" w:lineRule="atLeast"/>
        <w:jc w:val="center"/>
        <w:rPr>
          <w:rFonts w:ascii="Garamond" w:hAnsi="Garamond"/>
          <w:b/>
          <w:lang w:eastAsia="ar-SA"/>
        </w:rPr>
      </w:pPr>
    </w:p>
    <w:p w14:paraId="3F7AC175">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08AECB2C">
      <w:pPr>
        <w:jc w:val="both"/>
        <w:rPr>
          <w:rFonts w:ascii="Arial" w:hAnsi="Arial" w:cs="Arial"/>
          <w:b/>
          <w:bCs/>
          <w:sz w:val="26"/>
          <w:szCs w:val="26"/>
        </w:rPr>
      </w:pPr>
    </w:p>
    <w:p w14:paraId="70E9EE3D">
      <w:pPr>
        <w:jc w:val="both"/>
        <w:rPr>
          <w:rFonts w:ascii="Arial" w:hAnsi="Arial" w:cs="Arial"/>
          <w:b/>
          <w:bCs/>
          <w:sz w:val="26"/>
          <w:szCs w:val="26"/>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2F1E3CC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7766E4A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4FBAE7D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056/2024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05DAEF73">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0D75C4E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2B3CC9F2">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077/2024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89000"/>
          <wp:effectExtent l="0" t="0" r="3810" b="635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8900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196FCE"/>
    <w:multiLevelType w:val="singleLevel"/>
    <w:tmpl w:val="CB196FCE"/>
    <w:lvl w:ilvl="0" w:tentative="0">
      <w:start w:val="1"/>
      <w:numFmt w:val="decimal"/>
      <w:lvlText w:val="5.1.%1."/>
      <w:lvlJc w:val="left"/>
      <w:pPr>
        <w:tabs>
          <w:tab w:val="left" w:pos="425"/>
        </w:tabs>
        <w:ind w:left="425" w:leftChars="0" w:hanging="425" w:firstLineChars="0"/>
      </w:pPr>
      <w:rPr>
        <w:rFonts w:hint="default"/>
        <w:b/>
        <w:bCs/>
      </w:rPr>
    </w:lvl>
  </w:abstractNum>
  <w:abstractNum w:abstractNumId="1">
    <w:nsid w:val="CEB8019E"/>
    <w:multiLevelType w:val="singleLevel"/>
    <w:tmpl w:val="CEB8019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771C18"/>
    <w:multiLevelType w:val="singleLevel"/>
    <w:tmpl w:val="10771C1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1D5C100D"/>
    <w:multiLevelType w:val="multilevel"/>
    <w:tmpl w:val="1D5C100D"/>
    <w:lvl w:ilvl="0" w:tentative="0">
      <w:start w:val="1"/>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432" w:hanging="432"/>
      </w:pPr>
      <w:rPr>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D2D80DD"/>
    <w:multiLevelType w:val="singleLevel"/>
    <w:tmpl w:val="3D2D80DD"/>
    <w:lvl w:ilvl="0" w:tentative="0">
      <w:start w:val="1"/>
      <w:numFmt w:val="decimal"/>
      <w:lvlText w:val="2.%1."/>
      <w:lvlJc w:val="left"/>
      <w:pPr>
        <w:tabs>
          <w:tab w:val="left" w:pos="425"/>
        </w:tabs>
        <w:ind w:left="425" w:leftChars="0" w:hanging="425" w:firstLineChars="0"/>
      </w:pPr>
      <w:rPr>
        <w:rFonts w:hint="default" w:ascii="Arial" w:hAnsi="Arial" w:cs="Arial"/>
        <w:b w:val="0"/>
        <w:bCs w:val="0"/>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9"/>
      <w:lvlText w:val="%1."/>
      <w:lvlJc w:val="left"/>
      <w:pPr>
        <w:ind w:left="360" w:hanging="360"/>
      </w:pPr>
      <w:rPr>
        <w:rFonts w:hint="default"/>
        <w:b/>
        <w:sz w:val="18"/>
        <w:szCs w:val="18"/>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sz w:val="18"/>
        <w:szCs w:val="18"/>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51A69F7"/>
    <w:multiLevelType w:val="singleLevel"/>
    <w:tmpl w:val="751A69F7"/>
    <w:lvl w:ilvl="0" w:tentative="0">
      <w:start w:val="1"/>
      <w:numFmt w:val="decimal"/>
      <w:lvlText w:val="5.2.%1."/>
      <w:lvlJc w:val="left"/>
      <w:pPr>
        <w:tabs>
          <w:tab w:val="left" w:pos="425"/>
        </w:tabs>
        <w:ind w:left="425" w:leftChars="0" w:hanging="425" w:firstLineChars="0"/>
      </w:pPr>
      <w:rPr>
        <w:rFonts w:hint="default"/>
        <w:b/>
        <w:bCs/>
      </w:rPr>
    </w:lvl>
  </w:abstractNum>
  <w:abstractNum w:abstractNumId="28">
    <w:nsid w:val="769DB060"/>
    <w:multiLevelType w:val="singleLevel"/>
    <w:tmpl w:val="769DB060"/>
    <w:lvl w:ilvl="0" w:tentative="0">
      <w:start w:val="3"/>
      <w:numFmt w:val="decimal"/>
      <w:suff w:val="space"/>
      <w:lvlText w:val="%1."/>
      <w:lvlJc w:val="left"/>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4"/>
  </w:num>
  <w:num w:numId="3">
    <w:abstractNumId w:val="28"/>
  </w:num>
  <w:num w:numId="4">
    <w:abstractNumId w:val="9"/>
  </w:num>
  <w:num w:numId="5">
    <w:abstractNumId w:val="30"/>
  </w:num>
  <w:num w:numId="6">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1"/>
  </w:num>
  <w:num w:numId="11">
    <w:abstractNumId w:val="31"/>
  </w:num>
  <w:num w:numId="12">
    <w:abstractNumId w:val="29"/>
  </w:num>
  <w:num w:numId="13">
    <w:abstractNumId w:val="16"/>
  </w:num>
  <w:num w:numId="14">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4"/>
  </w:num>
  <w:num w:numId="17">
    <w:abstractNumId w:val="23"/>
  </w:num>
  <w:num w:numId="18">
    <w:abstractNumId w:val="13"/>
  </w:num>
  <w:num w:numId="19">
    <w:abstractNumId w:val="10"/>
  </w:num>
  <w:num w:numId="20">
    <w:abstractNumId w:val="22"/>
  </w:num>
  <w:num w:numId="21">
    <w:abstractNumId w:val="8"/>
  </w:num>
  <w:num w:numId="22">
    <w:abstractNumId w:val="10"/>
    <w:lvlOverride w:ilvl="0">
      <w:startOverride w:val="14"/>
    </w:lvlOverride>
  </w:num>
  <w:num w:numId="23">
    <w:abstractNumId w:val="6"/>
  </w:num>
  <w:num w:numId="24">
    <w:abstractNumId w:val="17"/>
  </w:num>
  <w:num w:numId="25">
    <w:abstractNumId w:val="1"/>
  </w:num>
  <w:num w:numId="26">
    <w:abstractNumId w:val="18"/>
  </w:num>
  <w:num w:numId="27">
    <w:abstractNumId w:val="0"/>
  </w:num>
  <w:num w:numId="28">
    <w:abstractNumId w:val="12"/>
  </w:num>
  <w:num w:numId="29">
    <w:abstractNumId w:val="27"/>
  </w:num>
  <w:num w:numId="30">
    <w:abstractNumId w:val="7"/>
  </w:num>
  <w:num w:numId="31">
    <w:abstractNumId w:val="11"/>
  </w:num>
  <w:num w:numId="32">
    <w:abstractNumId w:val="2"/>
  </w:num>
  <w:num w:numId="33">
    <w:abstractNumId w:val="25"/>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3B31B5"/>
    <w:rsid w:val="035930BB"/>
    <w:rsid w:val="03D87455"/>
    <w:rsid w:val="05315411"/>
    <w:rsid w:val="05B22507"/>
    <w:rsid w:val="05C36005"/>
    <w:rsid w:val="065C4EFE"/>
    <w:rsid w:val="06626E08"/>
    <w:rsid w:val="06A40338"/>
    <w:rsid w:val="071661B3"/>
    <w:rsid w:val="071B07B5"/>
    <w:rsid w:val="071B739D"/>
    <w:rsid w:val="0902370D"/>
    <w:rsid w:val="0A1A36A0"/>
    <w:rsid w:val="0AC61217"/>
    <w:rsid w:val="0ACE4448"/>
    <w:rsid w:val="0B2E0FAF"/>
    <w:rsid w:val="0C28597F"/>
    <w:rsid w:val="0C6254CE"/>
    <w:rsid w:val="0C8D69A8"/>
    <w:rsid w:val="0C9B62D5"/>
    <w:rsid w:val="0CFA6157"/>
    <w:rsid w:val="0D084D71"/>
    <w:rsid w:val="0D0A6A9C"/>
    <w:rsid w:val="0DAC2628"/>
    <w:rsid w:val="0E347678"/>
    <w:rsid w:val="0F085E08"/>
    <w:rsid w:val="108B13AF"/>
    <w:rsid w:val="108D148E"/>
    <w:rsid w:val="11C747A2"/>
    <w:rsid w:val="123371E8"/>
    <w:rsid w:val="131F396E"/>
    <w:rsid w:val="134A4E0F"/>
    <w:rsid w:val="14D923A9"/>
    <w:rsid w:val="16233B71"/>
    <w:rsid w:val="16240579"/>
    <w:rsid w:val="16BC1BDB"/>
    <w:rsid w:val="19454582"/>
    <w:rsid w:val="19583C7B"/>
    <w:rsid w:val="1C74326B"/>
    <w:rsid w:val="1DAA464F"/>
    <w:rsid w:val="1E1B0DF1"/>
    <w:rsid w:val="1E387E23"/>
    <w:rsid w:val="1FAE0C8A"/>
    <w:rsid w:val="209C70ED"/>
    <w:rsid w:val="20AF4B58"/>
    <w:rsid w:val="21523992"/>
    <w:rsid w:val="22B343FA"/>
    <w:rsid w:val="22DF6543"/>
    <w:rsid w:val="243F4EA1"/>
    <w:rsid w:val="249F2FCE"/>
    <w:rsid w:val="24B0470C"/>
    <w:rsid w:val="24F84421"/>
    <w:rsid w:val="25695BEC"/>
    <w:rsid w:val="25FD47AF"/>
    <w:rsid w:val="26467D5D"/>
    <w:rsid w:val="26A522E5"/>
    <w:rsid w:val="26AB2EEF"/>
    <w:rsid w:val="27CE5C62"/>
    <w:rsid w:val="2893739E"/>
    <w:rsid w:val="289D2943"/>
    <w:rsid w:val="28D97B12"/>
    <w:rsid w:val="28F35E71"/>
    <w:rsid w:val="29A90543"/>
    <w:rsid w:val="29B277F5"/>
    <w:rsid w:val="29BB2501"/>
    <w:rsid w:val="29F03C89"/>
    <w:rsid w:val="2BA5188B"/>
    <w:rsid w:val="2BD1489C"/>
    <w:rsid w:val="2D7F278F"/>
    <w:rsid w:val="2E514506"/>
    <w:rsid w:val="2E611FB6"/>
    <w:rsid w:val="2E7471D0"/>
    <w:rsid w:val="2E9E5CBA"/>
    <w:rsid w:val="2F462A0C"/>
    <w:rsid w:val="2F471420"/>
    <w:rsid w:val="2FA85205"/>
    <w:rsid w:val="2FC254E7"/>
    <w:rsid w:val="30704386"/>
    <w:rsid w:val="31151E44"/>
    <w:rsid w:val="3146053A"/>
    <w:rsid w:val="31E13090"/>
    <w:rsid w:val="33522FA7"/>
    <w:rsid w:val="339211DF"/>
    <w:rsid w:val="34F85A73"/>
    <w:rsid w:val="35840EDB"/>
    <w:rsid w:val="35BE6D72"/>
    <w:rsid w:val="36153AC8"/>
    <w:rsid w:val="36D17D70"/>
    <w:rsid w:val="36E91DC4"/>
    <w:rsid w:val="370B67DB"/>
    <w:rsid w:val="37B07013"/>
    <w:rsid w:val="37E10645"/>
    <w:rsid w:val="38D71493"/>
    <w:rsid w:val="39ED5597"/>
    <w:rsid w:val="39FE0F51"/>
    <w:rsid w:val="3A335D0B"/>
    <w:rsid w:val="3A782F7C"/>
    <w:rsid w:val="3A8D7822"/>
    <w:rsid w:val="3AE54320"/>
    <w:rsid w:val="3B36765E"/>
    <w:rsid w:val="3BBA2084"/>
    <w:rsid w:val="3BBC35BC"/>
    <w:rsid w:val="3BC606A0"/>
    <w:rsid w:val="3FD7053F"/>
    <w:rsid w:val="401157AC"/>
    <w:rsid w:val="417501F3"/>
    <w:rsid w:val="41AD1B63"/>
    <w:rsid w:val="4213205F"/>
    <w:rsid w:val="42491603"/>
    <w:rsid w:val="42856917"/>
    <w:rsid w:val="42FB4AF3"/>
    <w:rsid w:val="431B5DEF"/>
    <w:rsid w:val="43C87141"/>
    <w:rsid w:val="44AF2B05"/>
    <w:rsid w:val="457C4F0E"/>
    <w:rsid w:val="458C2FAA"/>
    <w:rsid w:val="46681314"/>
    <w:rsid w:val="470518CB"/>
    <w:rsid w:val="4773703A"/>
    <w:rsid w:val="480E77C6"/>
    <w:rsid w:val="48523561"/>
    <w:rsid w:val="48854E86"/>
    <w:rsid w:val="48F30D3D"/>
    <w:rsid w:val="4944217D"/>
    <w:rsid w:val="498D5575"/>
    <w:rsid w:val="4A4328CF"/>
    <w:rsid w:val="4A64791A"/>
    <w:rsid w:val="4A6A18CB"/>
    <w:rsid w:val="4B821692"/>
    <w:rsid w:val="4BA74AAE"/>
    <w:rsid w:val="4BA965BC"/>
    <w:rsid w:val="4BE0608A"/>
    <w:rsid w:val="4CBC3DA7"/>
    <w:rsid w:val="4D4730BA"/>
    <w:rsid w:val="4D927F12"/>
    <w:rsid w:val="4F447498"/>
    <w:rsid w:val="4FDA3AB0"/>
    <w:rsid w:val="505E3468"/>
    <w:rsid w:val="50B5468B"/>
    <w:rsid w:val="51453A91"/>
    <w:rsid w:val="51C874F1"/>
    <w:rsid w:val="51CF3978"/>
    <w:rsid w:val="51D356B8"/>
    <w:rsid w:val="52465311"/>
    <w:rsid w:val="528511B2"/>
    <w:rsid w:val="52CF109F"/>
    <w:rsid w:val="54C274A3"/>
    <w:rsid w:val="55700B2B"/>
    <w:rsid w:val="57877298"/>
    <w:rsid w:val="58614E3B"/>
    <w:rsid w:val="59194FF3"/>
    <w:rsid w:val="594C2058"/>
    <w:rsid w:val="5B0972E9"/>
    <w:rsid w:val="5BC449ED"/>
    <w:rsid w:val="5CBA6E31"/>
    <w:rsid w:val="5D7C74C4"/>
    <w:rsid w:val="5F6D1DB8"/>
    <w:rsid w:val="6212532B"/>
    <w:rsid w:val="638C505A"/>
    <w:rsid w:val="63F5795B"/>
    <w:rsid w:val="648D429C"/>
    <w:rsid w:val="64C01682"/>
    <w:rsid w:val="64C435DC"/>
    <w:rsid w:val="67E30105"/>
    <w:rsid w:val="6819232A"/>
    <w:rsid w:val="685F2D49"/>
    <w:rsid w:val="68CF77F4"/>
    <w:rsid w:val="694158BA"/>
    <w:rsid w:val="69B47C24"/>
    <w:rsid w:val="69D22C2B"/>
    <w:rsid w:val="69D956AD"/>
    <w:rsid w:val="6A902988"/>
    <w:rsid w:val="6AB61517"/>
    <w:rsid w:val="6BA0490E"/>
    <w:rsid w:val="6C041C46"/>
    <w:rsid w:val="6CAC2460"/>
    <w:rsid w:val="6E114EEB"/>
    <w:rsid w:val="6F3239AE"/>
    <w:rsid w:val="6F5013AD"/>
    <w:rsid w:val="6FD12C00"/>
    <w:rsid w:val="71AE1385"/>
    <w:rsid w:val="725A39AC"/>
    <w:rsid w:val="733B7399"/>
    <w:rsid w:val="73EA389E"/>
    <w:rsid w:val="7421118B"/>
    <w:rsid w:val="744F69BD"/>
    <w:rsid w:val="74DB2B3F"/>
    <w:rsid w:val="750C7615"/>
    <w:rsid w:val="75463962"/>
    <w:rsid w:val="75845FDA"/>
    <w:rsid w:val="75D743E8"/>
    <w:rsid w:val="76846FE7"/>
    <w:rsid w:val="77110C43"/>
    <w:rsid w:val="78051A16"/>
    <w:rsid w:val="784016D6"/>
    <w:rsid w:val="784150D0"/>
    <w:rsid w:val="784A5868"/>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paragraph" w:customStyle="1" w:styleId="339">
    <w:name w:val="Header"/>
    <w:basedOn w:val="1"/>
    <w:semiHidden/>
    <w:unhideWhenUsed/>
    <w:qFormat/>
    <w:uiPriority w:val="99"/>
    <w:pPr>
      <w:tabs>
        <w:tab w:val="center" w:pos="4252"/>
        <w:tab w:val="right" w:pos="8504"/>
      </w:tabs>
      <w:spacing w:after="0" w:line="240" w:lineRule="auto"/>
    </w:pPr>
  </w:style>
  <w:style w:type="paragraph" w:customStyle="1" w:styleId="340">
    <w:name w:val="Footer"/>
    <w:basedOn w:val="1"/>
    <w:unhideWhenUsed/>
    <w:qFormat/>
    <w:uiPriority w:val="99"/>
    <w:pPr>
      <w:tabs>
        <w:tab w:val="center" w:pos="4252"/>
        <w:tab w:val="right" w:pos="8504"/>
      </w:tabs>
      <w:spacing w:after="0" w:line="240" w:lineRule="auto"/>
    </w:pPr>
  </w:style>
  <w:style w:type="paragraph" w:customStyle="1" w:styleId="341">
    <w:name w:val="normal"/>
    <w:qFormat/>
    <w:uiPriority w:val="0"/>
    <w:pPr>
      <w:spacing w:after="160" w:line="259" w:lineRule="auto"/>
    </w:pPr>
    <w:rPr>
      <w:rFonts w:ascii="Calibri" w:hAnsi="Calibri" w:eastAsia="Calibri" w:cs="Calibri"/>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43</Pages>
  <Words>18696</Words>
  <Characters>100959</Characters>
  <Lines>841</Lines>
  <Paragraphs>238</Paragraphs>
  <TotalTime>5</TotalTime>
  <ScaleCrop>false</ScaleCrop>
  <LinksUpToDate>false</LinksUpToDate>
  <CharactersWithSpaces>119417</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2024-10-17T15:22:18Z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259E5F8A4147439C9924670D8356F83E_13</vt:lpwstr>
  </property>
</Properties>
</file>