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D8136">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6EFC8AFD">
      <w:pPr>
        <w:pStyle w:val="198"/>
        <w:widowControl/>
        <w:tabs>
          <w:tab w:val="clear" w:pos="5954"/>
        </w:tabs>
        <w:jc w:val="center"/>
        <w:rPr>
          <w:rFonts w:hint="default" w:ascii="Arial" w:hAnsi="Arial" w:cs="Arial"/>
          <w:b/>
          <w:sz w:val="24"/>
          <w:szCs w:val="24"/>
          <w:lang w:val="pt-BR"/>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086/2024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3C93AF89">
            <w:pPr>
              <w:rPr>
                <w:rFonts w:hint="default" w:ascii="Arial" w:hAnsi="Arial" w:cs="Arial"/>
                <w:color w:val="000000"/>
                <w:sz w:val="22"/>
                <w:szCs w:val="22"/>
                <w:highlight w:val="yellow"/>
                <w:lang w:val="pt-BR"/>
              </w:rPr>
            </w:pPr>
            <w:r>
              <w:rPr>
                <w:rFonts w:ascii="Arial" w:hAnsi="Arial" w:cs="Arial"/>
                <w:color w:val="000000"/>
                <w:sz w:val="22"/>
                <w:szCs w:val="22"/>
                <w:lang w:val="pt-BR"/>
              </w:rPr>
              <w:t>054/2024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90054</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039/2024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26/08</w:t>
            </w:r>
            <w:r>
              <w:rPr>
                <w:rFonts w:ascii="Arial" w:hAnsi="Arial" w:cs="Arial"/>
                <w:b/>
                <w:bCs/>
                <w:color w:val="000000"/>
                <w:sz w:val="22"/>
                <w:szCs w:val="22"/>
              </w:rPr>
              <w:t xml:space="preserve">/2024. Início: </w:t>
            </w:r>
            <w:r>
              <w:rPr>
                <w:rFonts w:hint="default" w:ascii="Arial" w:hAnsi="Arial" w:cs="Arial"/>
                <w:b/>
                <w:bCs/>
                <w:color w:val="000000"/>
                <w:sz w:val="22"/>
                <w:szCs w:val="22"/>
                <w:lang w:val="pt-BR"/>
              </w:rPr>
              <w:t xml:space="preserve">9 </w:t>
            </w:r>
            <w:r>
              <w:rPr>
                <w:rFonts w:ascii="Arial" w:hAnsi="Arial" w:cs="Arial"/>
                <w:b/>
                <w:bCs/>
                <w:color w:val="000000"/>
                <w:sz w:val="22"/>
                <w:szCs w:val="22"/>
              </w:rPr>
              <w:t>h (</w:t>
            </w:r>
            <w:r>
              <w:rPr>
                <w:rFonts w:hint="default" w:ascii="Arial" w:hAnsi="Arial" w:cs="Arial"/>
                <w:b/>
                <w:bCs/>
                <w:color w:val="000000"/>
                <w:sz w:val="22"/>
                <w:szCs w:val="22"/>
                <w:lang w:val="pt-BR"/>
              </w:rPr>
              <w:t>nove</w:t>
            </w:r>
            <w:r>
              <w:rPr>
                <w:rFonts w:ascii="Arial" w:hAnsi="Arial" w:cs="Arial"/>
                <w:b/>
                <w:bCs/>
                <w:color w:val="000000"/>
                <w:sz w:val="22"/>
                <w:szCs w:val="22"/>
              </w:rPr>
              <w:t xml:space="preser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serviços de locação de geradores de energia para atender às demandas da Secretaria de Cultura e Turismo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203.200,00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27077917">
      <w:pPr>
        <w:jc w:val="center"/>
        <w:rPr>
          <w:rFonts w:ascii="Arial" w:hAnsi="Arial" w:cs="Arial"/>
          <w:sz w:val="20"/>
        </w:rPr>
      </w:pPr>
    </w:p>
    <w:p w14:paraId="0350A2E3">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45B156B6">
      <w:pPr>
        <w:jc w:val="center"/>
        <w:rPr>
          <w:rFonts w:ascii="Arial" w:hAnsi="Arial" w:cs="Arial"/>
          <w:sz w:val="20"/>
        </w:rPr>
      </w:pPr>
    </w:p>
    <w:p w14:paraId="745D9C0F">
      <w:pPr>
        <w:jc w:val="both"/>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054/2024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086/2024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26/08/2024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9"/>
          <w:szCs w:val="19"/>
        </w:rPr>
      </w:pPr>
      <w:r>
        <w:rPr>
          <w:rFonts w:hint="default" w:ascii="Arial" w:hAnsi="Arial" w:cs="Arial"/>
          <w:sz w:val="19"/>
          <w:szCs w:val="19"/>
        </w:rPr>
        <w:t xml:space="preserve">O </w:t>
      </w:r>
      <w:r>
        <w:rPr>
          <w:rFonts w:hint="default" w:ascii="Arial" w:hAnsi="Arial" w:cs="Arial"/>
          <w:b/>
          <w:sz w:val="19"/>
          <w:szCs w:val="19"/>
        </w:rPr>
        <w:t>MUNICÍPIO DE CATAGUASES</w:t>
      </w:r>
      <w:r>
        <w:rPr>
          <w:rFonts w:hint="default" w:ascii="Arial" w:hAnsi="Arial" w:cs="Arial"/>
          <w:sz w:val="19"/>
          <w:szCs w:val="19"/>
        </w:rPr>
        <w:t xml:space="preserve">, através da </w:t>
      </w:r>
      <w:r>
        <w:rPr>
          <w:rFonts w:hint="default" w:ascii="Arial" w:hAnsi="Arial" w:cs="Arial"/>
          <w:b/>
          <w:caps/>
          <w:sz w:val="19"/>
          <w:szCs w:val="19"/>
        </w:rPr>
        <w:t>Prefeitura Municipal de Cataguases</w:t>
      </w:r>
      <w:r>
        <w:rPr>
          <w:rFonts w:hint="default" w:ascii="Arial" w:hAnsi="Arial" w:cs="Arial"/>
          <w:sz w:val="19"/>
          <w:szCs w:val="19"/>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9"/>
          <w:szCs w:val="19"/>
        </w:rPr>
        <w:t xml:space="preserve">Processo Licitatório nº </w:t>
      </w:r>
      <w:r>
        <w:rPr>
          <w:rFonts w:hint="default" w:ascii="Arial" w:hAnsi="Arial" w:cs="Arial"/>
          <w:b/>
          <w:sz w:val="19"/>
          <w:szCs w:val="19"/>
          <w:lang w:val="pt-BR"/>
        </w:rPr>
        <w:t>086/2024</w:t>
      </w:r>
      <w:r>
        <w:rPr>
          <w:rFonts w:hint="default" w:ascii="Arial" w:hAnsi="Arial" w:cs="Arial"/>
          <w:sz w:val="19"/>
          <w:szCs w:val="19"/>
        </w:rPr>
        <w:t xml:space="preserve"> para Sistema de Registro de Preços n° </w:t>
      </w:r>
      <w:r>
        <w:rPr>
          <w:rFonts w:hint="default" w:ascii="Arial" w:hAnsi="Arial" w:cs="Arial"/>
          <w:sz w:val="19"/>
          <w:szCs w:val="19"/>
          <w:lang w:val="pt-BR"/>
        </w:rPr>
        <w:t>039/2024</w:t>
      </w:r>
      <w:r>
        <w:rPr>
          <w:rFonts w:hint="default" w:ascii="Arial" w:hAnsi="Arial" w:cs="Arial"/>
          <w:sz w:val="19"/>
          <w:szCs w:val="19"/>
        </w:rPr>
        <w:t xml:space="preserve">, na modalidade </w:t>
      </w:r>
      <w:r>
        <w:rPr>
          <w:rFonts w:hint="default" w:ascii="Arial" w:hAnsi="Arial" w:cs="Arial"/>
          <w:b/>
          <w:sz w:val="19"/>
          <w:szCs w:val="19"/>
        </w:rPr>
        <w:t xml:space="preserve">Pregão na forma ELETRÔNICA nº </w:t>
      </w:r>
      <w:r>
        <w:rPr>
          <w:rFonts w:hint="default" w:ascii="Arial" w:hAnsi="Arial" w:cs="Arial"/>
          <w:b/>
          <w:sz w:val="19"/>
          <w:szCs w:val="19"/>
          <w:lang w:val="pt-BR"/>
        </w:rPr>
        <w:t>054/2024</w:t>
      </w:r>
      <w:r>
        <w:rPr>
          <w:rFonts w:hint="default" w:ascii="Arial" w:hAnsi="Arial" w:cs="Arial"/>
          <w:b/>
          <w:sz w:val="19"/>
          <w:szCs w:val="19"/>
        </w:rPr>
        <w:t>, T</w:t>
      </w:r>
      <w:r>
        <w:rPr>
          <w:rFonts w:hint="default" w:ascii="Arial" w:hAnsi="Arial" w:cs="Arial"/>
          <w:b/>
          <w:bCs w:val="0"/>
          <w:sz w:val="19"/>
          <w:szCs w:val="19"/>
        </w:rPr>
        <w:t xml:space="preserve">ipo </w:t>
      </w:r>
      <w:r>
        <w:rPr>
          <w:rFonts w:hint="default" w:ascii="Arial" w:hAnsi="Arial" w:cs="Arial"/>
          <w:b/>
          <w:bCs w:val="0"/>
          <w:sz w:val="19"/>
          <w:szCs w:val="19"/>
          <w:lang w:val="pt-BR"/>
        </w:rPr>
        <w:t>menor preço por lote</w:t>
      </w:r>
      <w:r>
        <w:rPr>
          <w:rFonts w:hint="default" w:ascii="Arial" w:hAnsi="Arial" w:cs="Arial"/>
          <w:b/>
          <w:bCs w:val="0"/>
          <w:sz w:val="19"/>
          <w:szCs w:val="19"/>
        </w:rPr>
        <w:t xml:space="preserve">, com objeto de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contratação de</w:t>
      </w:r>
      <w:r>
        <w:rPr>
          <w:rFonts w:hint="default" w:ascii="Arial" w:hAnsi="Arial" w:cs="Arial"/>
          <w:b w:val="0"/>
          <w:bCs/>
          <w:color w:val="000000"/>
          <w:sz w:val="19"/>
          <w:szCs w:val="19"/>
        </w:rPr>
        <w:t xml:space="preserve"> </w:t>
      </w:r>
      <w:r>
        <w:rPr>
          <w:rFonts w:ascii="Arial" w:hAnsi="Arial" w:cs="Arial"/>
          <w:b/>
          <w:bCs/>
          <w:color w:val="000000"/>
          <w:sz w:val="19"/>
          <w:szCs w:val="19"/>
        </w:rPr>
        <w:t xml:space="preserve">empresa especializada em </w:t>
      </w:r>
      <w:r>
        <w:rPr>
          <w:rFonts w:hint="default" w:ascii="Arial" w:hAnsi="Arial" w:cs="Arial"/>
          <w:b/>
          <w:bCs/>
          <w:color w:val="000000"/>
          <w:sz w:val="19"/>
          <w:szCs w:val="19"/>
          <w:lang w:val="pt-BR"/>
        </w:rPr>
        <w:t>serviços de locação de geradores de energia, para atender às demandas da Secretaria de Cultura e Turismo da Prefeitura de Cataguases-MG</w:t>
      </w:r>
      <w:r>
        <w:rPr>
          <w:rFonts w:hint="default" w:ascii="Arial" w:hAnsi="Arial" w:cs="Arial"/>
          <w:b/>
          <w:color w:val="000000"/>
          <w:sz w:val="19"/>
          <w:szCs w:val="19"/>
        </w:rPr>
        <w:t xml:space="preserve">, </w:t>
      </w:r>
      <w:r>
        <w:rPr>
          <w:rFonts w:hint="default" w:ascii="Arial" w:hAnsi="Arial" w:cs="Arial"/>
          <w:sz w:val="19"/>
          <w:szCs w:val="19"/>
        </w:rPr>
        <w:t xml:space="preserve">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eastAsia="Arial" w:cs="Arial"/>
          <w:color w:val="auto"/>
          <w:sz w:val="19"/>
          <w:szCs w:val="19"/>
          <w:u w:val="none"/>
        </w:rPr>
        <w:t>Lei nº 14.133, de 1º de abril de 2021</w:t>
      </w:r>
      <w:r>
        <w:rPr>
          <w:rStyle w:val="12"/>
          <w:rFonts w:hint="default" w:ascii="Arial" w:hAnsi="Arial" w:eastAsia="Arial" w:cs="Arial"/>
          <w:color w:val="auto"/>
          <w:sz w:val="19"/>
          <w:szCs w:val="19"/>
          <w:u w:val="none"/>
        </w:rPr>
        <w:fldChar w:fldCharType="end"/>
      </w:r>
      <w:r>
        <w:rPr>
          <w:rFonts w:hint="default" w:ascii="Arial" w:hAnsi="Arial" w:cs="Arial"/>
          <w:sz w:val="19"/>
          <w:szCs w:val="19"/>
        </w:rPr>
        <w:t>, Lei Municipal n° 4.946 de 2023</w:t>
      </w:r>
      <w:r>
        <w:rPr>
          <w:rFonts w:hint="default" w:ascii="Arial" w:hAnsi="Arial" w:cs="Arial"/>
          <w:b w:val="0"/>
          <w:bCs w:val="0"/>
          <w:sz w:val="19"/>
          <w:szCs w:val="19"/>
        </w:rPr>
        <w:t>, Decreto Municipal n° 5.805 de 2023</w:t>
      </w:r>
      <w:r>
        <w:rPr>
          <w:rFonts w:hint="default" w:ascii="Arial" w:hAnsi="Arial" w:cs="Arial"/>
          <w:b w:val="0"/>
          <w:bCs w:val="0"/>
          <w:sz w:val="19"/>
          <w:szCs w:val="19"/>
          <w:lang w:val="pt-BR"/>
        </w:rPr>
        <w:t xml:space="preserve">, </w:t>
      </w:r>
      <w:r>
        <w:rPr>
          <w:rFonts w:hint="default" w:ascii="Arial" w:hAnsi="Arial" w:cs="Arial"/>
          <w:b w:val="0"/>
          <w:bCs w:val="0"/>
          <w:sz w:val="19"/>
          <w:szCs w:val="19"/>
        </w:rPr>
        <w:t>Lei 13.709 de 14 de agosto de 2018 (LGPD - Lei Geral de Proteção de Dados) e Lei 12.846 de 1º de agosto de 2013 (Lei Anticorrupção) e demais legislação aplicável e, ainda, de acor</w:t>
      </w:r>
      <w:r>
        <w:rPr>
          <w:rFonts w:hint="default" w:ascii="Arial" w:hAnsi="Arial" w:cs="Arial"/>
          <w:sz w:val="19"/>
          <w:szCs w:val="19"/>
        </w:rPr>
        <w:t>do com as condições estabelecidas neste presente Edital.</w:t>
      </w:r>
    </w:p>
    <w:p w14:paraId="0B52795E">
      <w:pPr>
        <w:jc w:val="both"/>
        <w:rPr>
          <w:rFonts w:hint="default" w:ascii="Arial" w:hAnsi="Arial" w:cs="Arial"/>
          <w:sz w:val="19"/>
          <w:szCs w:val="19"/>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9"/>
          <w:szCs w:val="19"/>
          <w:lang w:eastAsia="ar-SA"/>
        </w:rPr>
      </w:pPr>
      <w:r>
        <w:rPr>
          <w:rFonts w:hint="default" w:ascii="Arial" w:hAnsi="Arial" w:cs="Arial"/>
          <w:sz w:val="19"/>
          <w:szCs w:val="19"/>
          <w:lang w:eastAsia="ar-SA"/>
        </w:rPr>
        <w:t xml:space="preserve">1.1. O objeto da presente licitação é </w:t>
      </w:r>
      <w:r>
        <w:rPr>
          <w:rFonts w:hint="default" w:ascii="Arial" w:hAnsi="Arial" w:cs="Arial"/>
          <w:sz w:val="19"/>
          <w:szCs w:val="19"/>
          <w:lang w:val="pt-PT" w:eastAsia="ar-SA"/>
        </w:rPr>
        <w:t xml:space="preserve">a escolha da proposta mais vantajosa para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 xml:space="preserve">contratação de </w:t>
      </w:r>
      <w:r>
        <w:rPr>
          <w:rFonts w:ascii="Arial" w:hAnsi="Arial" w:cs="Arial"/>
          <w:b/>
          <w:bCs/>
          <w:color w:val="000000"/>
          <w:sz w:val="19"/>
          <w:szCs w:val="19"/>
        </w:rPr>
        <w:t xml:space="preserve">empresa especializada em </w:t>
      </w:r>
      <w:r>
        <w:rPr>
          <w:rFonts w:hint="default" w:ascii="Arial" w:hAnsi="Arial" w:cs="Arial"/>
          <w:b/>
          <w:bCs/>
          <w:color w:val="000000"/>
          <w:sz w:val="19"/>
          <w:szCs w:val="19"/>
          <w:lang w:val="pt-BR"/>
        </w:rPr>
        <w:t>serviços de locação de geradores de energia, para atender às demandas da Secretaria de Cultura e Turismo da Prefeitura de Cataguases-MG</w:t>
      </w:r>
      <w:r>
        <w:rPr>
          <w:rFonts w:hint="default" w:ascii="Arial" w:hAnsi="Arial" w:cs="Arial"/>
          <w:b/>
          <w:sz w:val="19"/>
          <w:szCs w:val="19"/>
        </w:rPr>
        <w:t>,</w:t>
      </w:r>
      <w:r>
        <w:rPr>
          <w:rFonts w:hint="default" w:ascii="Arial" w:hAnsi="Arial" w:cs="Arial"/>
          <w:sz w:val="19"/>
          <w:szCs w:val="19"/>
          <w:lang w:val="pt-PT" w:eastAsia="ar-SA"/>
        </w:rPr>
        <w:t xml:space="preserve"> conforme </w:t>
      </w:r>
      <w:r>
        <w:rPr>
          <w:rFonts w:hint="default" w:ascii="Arial" w:hAnsi="Arial" w:cs="Arial"/>
          <w:sz w:val="19"/>
          <w:szCs w:val="19"/>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9"/>
          <w:szCs w:val="19"/>
        </w:rPr>
      </w:pPr>
      <w:r>
        <w:rPr>
          <w:rFonts w:hint="default" w:ascii="Arial" w:hAnsi="Arial" w:cs="Arial"/>
          <w:sz w:val="19"/>
          <w:szCs w:val="19"/>
        </w:rPr>
        <w:t xml:space="preserve">1.2. A licitação será </w:t>
      </w:r>
      <w:r>
        <w:rPr>
          <w:rFonts w:hint="default" w:ascii="Arial" w:hAnsi="Arial" w:cs="Arial"/>
          <w:sz w:val="19"/>
          <w:szCs w:val="19"/>
          <w:lang w:val="pt-BR"/>
        </w:rPr>
        <w:t>por lote</w:t>
      </w:r>
      <w:r>
        <w:rPr>
          <w:rFonts w:hint="default" w:ascii="Arial" w:hAnsi="Arial" w:cs="Arial"/>
          <w:sz w:val="19"/>
          <w:szCs w:val="19"/>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9"/>
          <w:szCs w:val="19"/>
        </w:rPr>
      </w:pPr>
      <w:r>
        <w:rPr>
          <w:rFonts w:hint="default" w:ascii="Arial" w:hAnsi="Arial" w:cs="Arial"/>
          <w:sz w:val="19"/>
          <w:szCs w:val="19"/>
        </w:rPr>
        <w:t xml:space="preserve">1.3. O critério de julgamento adotado será o </w:t>
      </w:r>
      <w:r>
        <w:rPr>
          <w:rFonts w:hint="default" w:ascii="Arial" w:hAnsi="Arial" w:cs="Arial"/>
          <w:sz w:val="19"/>
          <w:szCs w:val="19"/>
          <w:lang w:val="pt-BR"/>
        </w:rPr>
        <w:t>menor preço por lote</w:t>
      </w:r>
      <w:r>
        <w:rPr>
          <w:rFonts w:hint="default" w:ascii="Arial" w:hAnsi="Arial" w:cs="Arial"/>
          <w:sz w:val="19"/>
          <w:szCs w:val="19"/>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9"/>
          <w:szCs w:val="19"/>
          <w:u w:val="single"/>
        </w:rPr>
      </w:pPr>
      <w:r>
        <w:rPr>
          <w:rFonts w:hint="default" w:ascii="Arial" w:hAnsi="Arial" w:cs="Arial"/>
          <w:sz w:val="19"/>
          <w:szCs w:val="19"/>
          <w:lang w:eastAsia="ar-SA"/>
        </w:rPr>
        <w:t xml:space="preserve">1.4. </w:t>
      </w:r>
      <w:r>
        <w:rPr>
          <w:rFonts w:hint="default" w:ascii="Arial" w:hAnsi="Arial" w:cs="Arial"/>
          <w:sz w:val="19"/>
          <w:szCs w:val="19"/>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9"/>
          <w:szCs w:val="19"/>
        </w:rPr>
      </w:pPr>
      <w:r>
        <w:rPr>
          <w:rFonts w:hint="default" w:ascii="Arial" w:hAnsi="Arial" w:cs="Arial"/>
          <w:sz w:val="19"/>
          <w:szCs w:val="19"/>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9"/>
          <w:szCs w:val="19"/>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9"/>
          <w:szCs w:val="19"/>
        </w:rPr>
      </w:pPr>
      <w:r>
        <w:rPr>
          <w:rFonts w:hint="default" w:ascii="Arial" w:hAnsi="Arial" w:cs="Arial"/>
          <w:sz w:val="19"/>
          <w:szCs w:val="19"/>
          <w:lang w:eastAsia="ar-SA"/>
        </w:rPr>
        <w:t>2. DA DOTAÇÃO ORÇAMENTÁRIA E ÓRGÃO GERENCIADOR</w:t>
      </w:r>
    </w:p>
    <w:p w14:paraId="3621BD0C">
      <w:pPr>
        <w:spacing w:line="360" w:lineRule="auto"/>
        <w:jc w:val="both"/>
        <w:rPr>
          <w:rFonts w:hint="default" w:ascii="Arial" w:hAnsi="Arial" w:cs="Arial"/>
          <w:sz w:val="19"/>
          <w:szCs w:val="19"/>
          <w:lang w:eastAsia="ar-SA"/>
        </w:rPr>
      </w:pPr>
      <w:r>
        <w:rPr>
          <w:rFonts w:hint="default" w:ascii="Arial" w:hAnsi="Arial" w:cs="Arial"/>
          <w:sz w:val="19"/>
          <w:szCs w:val="19"/>
          <w:lang w:eastAsia="ar-SA"/>
        </w:rPr>
        <w:t xml:space="preserve">2.1. </w:t>
      </w:r>
      <w:r>
        <w:rPr>
          <w:rFonts w:hint="default" w:ascii="Arial" w:hAnsi="Arial" w:cs="Arial"/>
          <w:sz w:val="19"/>
          <w:szCs w:val="19"/>
        </w:rPr>
        <w:t xml:space="preserve">O órgão gerenciador será a Prefeitura Municipal de Cataguases – UASG </w:t>
      </w:r>
      <w:r>
        <w:rPr>
          <w:rFonts w:hint="default" w:ascii="Arial" w:hAnsi="Arial" w:cs="Arial"/>
          <w:color w:val="000000"/>
          <w:sz w:val="19"/>
          <w:szCs w:val="19"/>
        </w:rPr>
        <w:t>984305</w:t>
      </w:r>
    </w:p>
    <w:p w14:paraId="5C05FE4C">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14:textFill>
            <w14:solidFill>
              <w14:schemeClr w14:val="tx1"/>
            </w14:solidFill>
          </w14:textFill>
        </w:rPr>
      </w:pPr>
      <w:r>
        <w:rPr>
          <w:rFonts w:hint="default" w:ascii="Arial" w:hAnsi="Arial" w:cs="Arial"/>
          <w:sz w:val="19"/>
          <w:szCs w:val="19"/>
          <w:lang w:eastAsia="ar-SA"/>
        </w:rPr>
        <w:t xml:space="preserve">2.2 Os recursos do </w:t>
      </w:r>
      <w:r>
        <w:rPr>
          <w:rFonts w:hint="default" w:ascii="Arial" w:hAnsi="Arial" w:cs="Arial"/>
          <w:bCs/>
          <w:sz w:val="19"/>
          <w:szCs w:val="19"/>
          <w:lang w:eastAsia="ar-SA"/>
        </w:rPr>
        <w:t>Órgão Gerenciador</w:t>
      </w:r>
      <w:r>
        <w:rPr>
          <w:rFonts w:hint="default" w:ascii="Arial" w:hAnsi="Arial" w:cs="Arial"/>
          <w:sz w:val="19"/>
          <w:szCs w:val="19"/>
          <w:lang w:eastAsia="ar-SA"/>
        </w:rPr>
        <w:t xml:space="preserve"> para cobrir as despesas decorrentes da </w:t>
      </w:r>
      <w:r>
        <w:rPr>
          <w:rFonts w:hint="default" w:ascii="Arial" w:hAnsi="Arial" w:cs="Arial"/>
          <w:color w:val="000000" w:themeColor="text1"/>
          <w:sz w:val="19"/>
          <w:szCs w:val="19"/>
          <w:lang w:eastAsia="ar-SA"/>
          <w14:textFill>
            <w14:solidFill>
              <w14:schemeClr w14:val="tx1"/>
            </w14:solidFill>
          </w14:textFill>
        </w:rPr>
        <w:t xml:space="preserve">aquisição objeto desta licitação </w:t>
      </w:r>
      <w:r>
        <w:rPr>
          <w:rFonts w:hint="default" w:ascii="Arial" w:hAnsi="Arial" w:cs="Arial"/>
          <w:color w:val="000000" w:themeColor="text1"/>
          <w:sz w:val="19"/>
          <w:szCs w:val="19"/>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9"/>
          <w:szCs w:val="19"/>
          <w:lang w:val="pt-BR"/>
          <w14:textFill>
            <w14:solidFill>
              <w14:schemeClr w14:val="tx1"/>
            </w14:solidFill>
          </w14:textFill>
        </w:rPr>
        <w:t>, sendo Secretaria de Cultura e Turismo.</w:t>
      </w:r>
    </w:p>
    <w:p w14:paraId="354E00E6">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14:textFill>
            <w14:solidFill>
              <w14:schemeClr w14:val="tx1"/>
            </w14:solidFill>
          </w14:textFill>
        </w:rPr>
      </w:pPr>
    </w:p>
    <w:p w14:paraId="42B32946">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14:textFill>
            <w14:solidFill>
              <w14:schemeClr w14:val="tx1"/>
            </w14:solidFill>
          </w14:textFill>
        </w:rPr>
      </w:pPr>
    </w:p>
    <w:p w14:paraId="10B9458E">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14:textFill>
            <w14:solidFill>
              <w14:schemeClr w14:val="tx1"/>
            </w14:solidFill>
          </w14:textFill>
        </w:rPr>
      </w:pPr>
    </w:p>
    <w:p w14:paraId="1190EE4B">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eastAsia="ar-SA"/>
          <w14:textFill>
            <w14:solidFill>
              <w14:schemeClr w14:val="tx1"/>
            </w14:solidFill>
          </w14:textFill>
        </w:rPr>
      </w:pPr>
    </w:p>
    <w:p w14:paraId="69C22DD6">
      <w:pPr>
        <w:numPr>
          <w:ilvl w:val="0"/>
          <w:numId w:val="3"/>
        </w:numPr>
        <w:spacing w:line="360" w:lineRule="auto"/>
        <w:jc w:val="both"/>
        <w:rPr>
          <w:rFonts w:hint="default" w:ascii="Arial" w:hAnsi="Arial" w:cs="Arial"/>
          <w:b/>
          <w:sz w:val="19"/>
          <w:szCs w:val="19"/>
          <w:lang w:eastAsia="ar-SA"/>
        </w:rPr>
      </w:pPr>
      <w:r>
        <w:rPr>
          <w:rFonts w:hint="default" w:ascii="Arial" w:hAnsi="Arial" w:cs="Arial"/>
          <w:b/>
          <w:sz w:val="19"/>
          <w:szCs w:val="19"/>
          <w:lang w:eastAsia="ar-SA"/>
        </w:rPr>
        <w:t>DA PARTICIPAÇÃO NA LICITAÇÃO</w:t>
      </w:r>
    </w:p>
    <w:p w14:paraId="2A225378">
      <w:pPr>
        <w:spacing w:line="360" w:lineRule="auto"/>
        <w:jc w:val="both"/>
        <w:rPr>
          <w:rFonts w:hint="default" w:ascii="Arial" w:hAnsi="Arial" w:cs="Arial"/>
          <w:b/>
          <w:sz w:val="19"/>
          <w:szCs w:val="19"/>
        </w:rPr>
      </w:pPr>
      <w:r>
        <w:rPr>
          <w:rFonts w:hint="default" w:ascii="Arial" w:hAnsi="Arial" w:cs="Arial"/>
          <w:sz w:val="19"/>
          <w:szCs w:val="19"/>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9"/>
          <w:szCs w:val="19"/>
        </w:rPr>
        <w:fldChar w:fldCharType="begin"/>
      </w:r>
      <w:r>
        <w:rPr>
          <w:rFonts w:hint="default" w:ascii="Arial" w:hAnsi="Arial" w:cs="Arial"/>
          <w:sz w:val="19"/>
          <w:szCs w:val="19"/>
        </w:rPr>
        <w:instrText xml:space="preserve"> HYPERLINK "http://www.gov.br/compras" </w:instrText>
      </w:r>
      <w:r>
        <w:rPr>
          <w:rFonts w:hint="default" w:ascii="Arial" w:hAnsi="Arial" w:cs="Arial"/>
          <w:sz w:val="19"/>
          <w:szCs w:val="19"/>
        </w:rPr>
        <w:fldChar w:fldCharType="separate"/>
      </w:r>
      <w:r>
        <w:rPr>
          <w:rStyle w:val="325"/>
          <w:rFonts w:hint="default" w:ascii="Arial" w:hAnsi="Arial" w:eastAsia="Arial" w:cs="Arial"/>
          <w:sz w:val="19"/>
          <w:szCs w:val="19"/>
        </w:rPr>
        <w:t>www.gov.br/compras</w:t>
      </w:r>
      <w:r>
        <w:rPr>
          <w:rStyle w:val="325"/>
          <w:rFonts w:hint="default" w:ascii="Arial" w:hAnsi="Arial" w:eastAsia="Arial" w:cs="Arial"/>
          <w:sz w:val="19"/>
          <w:szCs w:val="19"/>
        </w:rPr>
        <w:fldChar w:fldCharType="end"/>
      </w:r>
      <w:r>
        <w:rPr>
          <w:rFonts w:hint="default" w:ascii="Arial" w:hAnsi="Arial" w:cs="Arial"/>
          <w:sz w:val="19"/>
          <w:szCs w:val="19"/>
        </w:rPr>
        <w:t>).</w:t>
      </w:r>
    </w:p>
    <w:p w14:paraId="5EE44B71">
      <w:pPr>
        <w:pStyle w:val="304"/>
        <w:spacing w:before="0" w:after="0" w:line="360" w:lineRule="auto"/>
        <w:rPr>
          <w:rFonts w:hint="default" w:ascii="Arial" w:hAnsi="Arial" w:cs="Arial"/>
          <w:sz w:val="19"/>
          <w:szCs w:val="19"/>
        </w:rPr>
      </w:pPr>
      <w:r>
        <w:rPr>
          <w:rFonts w:hint="default" w:ascii="Arial" w:hAnsi="Arial" w:cs="Arial"/>
          <w:sz w:val="19"/>
          <w:szCs w:val="19"/>
        </w:rPr>
        <w:t>3.1.1 O</w:t>
      </w:r>
      <w:bookmarkStart w:id="0" w:name="_Hlk135304247"/>
      <w:r>
        <w:rPr>
          <w:rFonts w:hint="default" w:ascii="Arial" w:hAnsi="Arial" w:cs="Arial"/>
          <w:sz w:val="19"/>
          <w:szCs w:val="19"/>
        </w:rPr>
        <w:t>s interessados deverão atender às condições exigidas no cadastramento no Sicaf até o terceiro dia útil anterior à data prevista para recebimento das propostas.</w:t>
      </w:r>
      <w:bookmarkEnd w:id="0"/>
    </w:p>
    <w:p w14:paraId="74D2CB40">
      <w:pPr>
        <w:pStyle w:val="304"/>
        <w:spacing w:before="0" w:after="0" w:line="360" w:lineRule="auto"/>
        <w:rPr>
          <w:rFonts w:hint="default" w:ascii="Arial" w:hAnsi="Arial" w:cs="Arial"/>
          <w:sz w:val="19"/>
          <w:szCs w:val="19"/>
        </w:rPr>
      </w:pPr>
      <w:r>
        <w:rPr>
          <w:rFonts w:hint="default" w:ascii="Arial" w:hAnsi="Arial" w:cs="Arial"/>
          <w:sz w:val="19"/>
          <w:szCs w:val="19"/>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528E85E">
      <w:pPr>
        <w:pStyle w:val="304"/>
        <w:spacing w:before="0" w:after="0" w:line="360" w:lineRule="auto"/>
        <w:rPr>
          <w:rFonts w:hint="default" w:ascii="Arial" w:hAnsi="Arial" w:cs="Arial"/>
          <w:sz w:val="19"/>
          <w:szCs w:val="19"/>
        </w:rPr>
      </w:pPr>
      <w:r>
        <w:rPr>
          <w:rFonts w:hint="default" w:ascii="Arial" w:hAnsi="Arial" w:cs="Arial"/>
          <w:sz w:val="19"/>
          <w:szCs w:val="19"/>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6B75E4A">
      <w:pPr>
        <w:pStyle w:val="304"/>
        <w:spacing w:before="0" w:after="0" w:line="360" w:lineRule="auto"/>
        <w:rPr>
          <w:rFonts w:hint="default" w:ascii="Arial" w:hAnsi="Arial" w:cs="Arial"/>
          <w:sz w:val="19"/>
          <w:szCs w:val="19"/>
        </w:rPr>
      </w:pPr>
      <w:r>
        <w:rPr>
          <w:rFonts w:hint="default" w:ascii="Arial" w:hAnsi="Arial" w:cs="Arial"/>
          <w:sz w:val="19"/>
          <w:szCs w:val="19"/>
        </w:rPr>
        <w:t>3.4 A não observância do disposto no item anterior poderá ensejar desclassificação no momento da habilitação.</w:t>
      </w:r>
    </w:p>
    <w:p w14:paraId="37241D4F">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3551C1F5">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BC03C8F">
      <w:pPr>
        <w:spacing w:line="360" w:lineRule="auto"/>
        <w:jc w:val="both"/>
        <w:rPr>
          <w:rFonts w:hint="default" w:ascii="Arial" w:hAnsi="Arial" w:cs="Arial"/>
          <w:b/>
          <w:sz w:val="19"/>
          <w:szCs w:val="19"/>
          <w:u w:val="none"/>
        </w:rPr>
      </w:pPr>
      <w:r>
        <w:rPr>
          <w:rFonts w:hint="default" w:ascii="Arial" w:hAnsi="Arial" w:cs="Arial"/>
          <w:b w:val="0"/>
          <w:bCs/>
          <w:sz w:val="19"/>
          <w:szCs w:val="19"/>
          <w:u w:val="none"/>
        </w:rPr>
        <w:t xml:space="preserve">3.7 </w:t>
      </w:r>
      <w:r>
        <w:rPr>
          <w:rFonts w:hint="default" w:ascii="Arial" w:hAnsi="Arial" w:cs="Arial"/>
          <w:b w:val="0"/>
          <w:bCs/>
          <w:sz w:val="19"/>
          <w:szCs w:val="19"/>
          <w:u w:val="none"/>
          <w:lang w:val="pt-BR"/>
        </w:rPr>
        <w:t xml:space="preserve">Será </w:t>
      </w:r>
      <w:r>
        <w:rPr>
          <w:rFonts w:hint="default" w:ascii="Arial" w:hAnsi="Arial" w:cs="Arial"/>
          <w:b w:val="0"/>
          <w:bCs/>
          <w:i w:val="0"/>
          <w:color w:val="auto"/>
          <w:sz w:val="19"/>
          <w:szCs w:val="19"/>
          <w:u w:val="none"/>
        </w:rPr>
        <w:t>con</w:t>
      </w:r>
      <w:r>
        <w:rPr>
          <w:rFonts w:hint="default" w:ascii="Arial" w:hAnsi="Arial" w:cs="Arial"/>
          <w:i w:val="0"/>
          <w:color w:val="auto"/>
          <w:sz w:val="19"/>
          <w:szCs w:val="19"/>
          <w:u w:val="none"/>
        </w:rPr>
        <w:t xml:space="preserve">cedido tratamento favorecido para as microempresas e empresas de pequeno porte, para as sociedades cooperativas </w:t>
      </w:r>
      <w:r>
        <w:rPr>
          <w:rFonts w:hint="default" w:ascii="Arial" w:hAnsi="Arial" w:eastAsia="Times New Roman" w:cs="Arial"/>
          <w:i w:val="0"/>
          <w:color w:val="auto"/>
          <w:sz w:val="19"/>
          <w:szCs w:val="19"/>
          <w:u w:val="none"/>
        </w:rPr>
        <w:t xml:space="preserve">mencionadas no </w:t>
      </w:r>
      <w:r>
        <w:rPr>
          <w:rFonts w:hint="default" w:ascii="Arial" w:hAnsi="Arial" w:cs="Arial"/>
          <w:sz w:val="19"/>
          <w:szCs w:val="19"/>
          <w:u w:val="none"/>
        </w:rPr>
        <w:fldChar w:fldCharType="begin"/>
      </w:r>
      <w:r>
        <w:rPr>
          <w:rFonts w:hint="default" w:ascii="Arial" w:hAnsi="Arial" w:cs="Arial"/>
          <w:sz w:val="19"/>
          <w:szCs w:val="19"/>
          <w:u w:val="none"/>
        </w:rPr>
        <w:instrText xml:space="preserve"> HYPERLINK "http://www.planalto.gov.br/ccivil_03/_ato2019-2022/2021/lei/L14133.htm" \l "art16" </w:instrText>
      </w:r>
      <w:r>
        <w:rPr>
          <w:rFonts w:hint="default" w:ascii="Arial" w:hAnsi="Arial" w:cs="Arial"/>
          <w:sz w:val="19"/>
          <w:szCs w:val="19"/>
          <w:u w:val="none"/>
        </w:rPr>
        <w:fldChar w:fldCharType="separate"/>
      </w:r>
      <w:r>
        <w:rPr>
          <w:rStyle w:val="12"/>
          <w:rFonts w:hint="default" w:ascii="Arial" w:hAnsi="Arial" w:eastAsia="Times New Roman" w:cs="Arial"/>
          <w:i w:val="0"/>
          <w:color w:val="auto"/>
          <w:sz w:val="19"/>
          <w:szCs w:val="19"/>
          <w:u w:val="none"/>
        </w:rPr>
        <w:t xml:space="preserve">artigo </w:t>
      </w:r>
      <w:r>
        <w:rPr>
          <w:rStyle w:val="12"/>
          <w:rFonts w:hint="default" w:ascii="Arial" w:hAnsi="Arial" w:cs="Arial"/>
          <w:i w:val="0"/>
          <w:color w:val="auto"/>
          <w:sz w:val="19"/>
          <w:szCs w:val="19"/>
          <w:u w:val="none"/>
        </w:rPr>
        <w:t>16 da Lei nº 14.133, de 2021</w:t>
      </w:r>
      <w:r>
        <w:rPr>
          <w:rStyle w:val="12"/>
          <w:rFonts w:hint="default" w:ascii="Arial" w:hAnsi="Arial" w:cs="Arial"/>
          <w:i w:val="0"/>
          <w:color w:val="auto"/>
          <w:sz w:val="19"/>
          <w:szCs w:val="19"/>
          <w:u w:val="none"/>
        </w:rPr>
        <w:fldChar w:fldCharType="end"/>
      </w:r>
      <w:r>
        <w:rPr>
          <w:rFonts w:hint="default" w:ascii="Arial" w:hAnsi="Arial" w:cs="Arial"/>
          <w:i w:val="0"/>
          <w:color w:val="auto"/>
          <w:sz w:val="19"/>
          <w:szCs w:val="19"/>
          <w:u w:val="none"/>
        </w:rPr>
        <w:t xml:space="preserve">, para o agricultor familiar, o produtor rural pessoa física e para o microempreendedor individual - MEI, nos limites previstos da </w:t>
      </w:r>
      <w:r>
        <w:rPr>
          <w:rFonts w:hint="default" w:ascii="Arial" w:hAnsi="Arial" w:cs="Arial"/>
          <w:sz w:val="19"/>
          <w:szCs w:val="19"/>
          <w:u w:val="none"/>
        </w:rPr>
        <w:fldChar w:fldCharType="begin"/>
      </w:r>
      <w:r>
        <w:rPr>
          <w:rFonts w:hint="default" w:ascii="Arial" w:hAnsi="Arial" w:cs="Arial"/>
          <w:sz w:val="19"/>
          <w:szCs w:val="19"/>
          <w:u w:val="none"/>
        </w:rPr>
        <w:instrText xml:space="preserve"> HYPERLINK "https://www.planalto.gov.br/ccivil_03/leis/lcp/lcp123.htm" </w:instrText>
      </w:r>
      <w:r>
        <w:rPr>
          <w:rFonts w:hint="default" w:ascii="Arial" w:hAnsi="Arial" w:cs="Arial"/>
          <w:sz w:val="19"/>
          <w:szCs w:val="19"/>
          <w:u w:val="none"/>
        </w:rPr>
        <w:fldChar w:fldCharType="separate"/>
      </w:r>
      <w:r>
        <w:rPr>
          <w:rStyle w:val="12"/>
          <w:rFonts w:hint="default" w:ascii="Arial" w:hAnsi="Arial" w:cs="Arial"/>
          <w:i w:val="0"/>
          <w:color w:val="auto"/>
          <w:sz w:val="19"/>
          <w:szCs w:val="19"/>
          <w:u w:val="none"/>
        </w:rPr>
        <w:t>Lei Complementar nº 123, de 2006</w:t>
      </w:r>
      <w:r>
        <w:rPr>
          <w:rStyle w:val="12"/>
          <w:rFonts w:hint="default" w:ascii="Arial" w:hAnsi="Arial" w:cs="Arial"/>
          <w:i w:val="0"/>
          <w:color w:val="auto"/>
          <w:sz w:val="19"/>
          <w:szCs w:val="19"/>
          <w:u w:val="none"/>
        </w:rPr>
        <w:fldChar w:fldCharType="end"/>
      </w:r>
      <w:r>
        <w:rPr>
          <w:rFonts w:hint="default" w:ascii="Arial" w:hAnsi="Arial" w:cs="Arial"/>
          <w:i w:val="0"/>
          <w:color w:val="auto"/>
          <w:sz w:val="19"/>
          <w:szCs w:val="19"/>
          <w:u w:val="none"/>
        </w:rPr>
        <w:t xml:space="preserve"> e do Decreto n.º 8.538, de 2015</w:t>
      </w:r>
      <w:r>
        <w:rPr>
          <w:rFonts w:hint="default" w:ascii="Arial" w:hAnsi="Arial" w:cs="Arial"/>
          <w:b/>
          <w:sz w:val="19"/>
          <w:szCs w:val="19"/>
          <w:u w:val="none"/>
        </w:rPr>
        <w:t>.</w:t>
      </w:r>
    </w:p>
    <w:p w14:paraId="157F03D3">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 </w:t>
      </w:r>
      <w:r>
        <w:rPr>
          <w:rFonts w:hint="default" w:ascii="Arial" w:hAnsi="Arial" w:cs="Arial"/>
          <w:i w:val="0"/>
          <w:color w:val="auto"/>
          <w:sz w:val="19"/>
          <w:szCs w:val="19"/>
        </w:rPr>
        <w:t>Não poderão participar desta licitação os seguintes interessados:</w:t>
      </w:r>
      <w:bookmarkStart w:id="1" w:name="_Ref113883338"/>
    </w:p>
    <w:p w14:paraId="0DD87675">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 </w:t>
      </w:r>
      <w:r>
        <w:rPr>
          <w:rFonts w:hint="default" w:ascii="Arial" w:hAnsi="Arial" w:cs="Arial"/>
          <w:i w:val="0"/>
          <w:color w:val="auto"/>
          <w:sz w:val="19"/>
          <w:szCs w:val="19"/>
        </w:rPr>
        <w:t>Aquele que não atenda às condições deste Edital e seu(s) anexo(s);</w:t>
      </w:r>
      <w:bookmarkStart w:id="2" w:name="_Ref114659912"/>
    </w:p>
    <w:p w14:paraId="0B98D07F">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3.8.2 </w:t>
      </w:r>
      <w:r>
        <w:rPr>
          <w:rFonts w:hint="default" w:ascii="Arial" w:hAnsi="Arial" w:cs="Arial"/>
          <w:i w:val="0"/>
          <w:color w:val="auto"/>
          <w:sz w:val="19"/>
          <w:szCs w:val="19"/>
        </w:rPr>
        <w:t>Autor do anteprojeto, do projeto básico ou do projeto executivo, pessoa física ou jurídica, quando a licitação versar sobre serviços ou fornecimento de bens a ele relacionados;</w:t>
      </w:r>
      <w:bookmarkEnd w:id="1"/>
      <w:bookmarkEnd w:id="2"/>
      <w:bookmarkStart w:id="3" w:name="_Ref114659913"/>
      <w:bookmarkStart w:id="4" w:name="_Ref113883339"/>
    </w:p>
    <w:p w14:paraId="4AC604EB">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3.8.3 </w:t>
      </w:r>
      <w:r>
        <w:rPr>
          <w:rFonts w:hint="default" w:ascii="Arial" w:hAnsi="Arial" w:cs="Arial"/>
          <w:i w:val="0"/>
          <w:color w:val="auto"/>
          <w:sz w:val="19"/>
          <w:szCs w:val="19"/>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7C06CC56">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3.8.4 </w:t>
      </w:r>
      <w:r>
        <w:rPr>
          <w:rFonts w:hint="default" w:ascii="Arial" w:hAnsi="Arial" w:cs="Arial"/>
          <w:i w:val="0"/>
          <w:color w:val="auto"/>
          <w:sz w:val="19"/>
          <w:szCs w:val="19"/>
        </w:rPr>
        <w:t>Pessoa física ou jurídica que se encontre, ao tempo da licitação, impossibilitada de participar da licitação em decorrência de sanção que lhe foi imposta;</w:t>
      </w:r>
      <w:bookmarkEnd w:id="5"/>
    </w:p>
    <w:p w14:paraId="03EFF148">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3.8.5 </w:t>
      </w:r>
      <w:r>
        <w:rPr>
          <w:rFonts w:hint="default" w:ascii="Arial" w:hAnsi="Arial" w:cs="Arial"/>
          <w:i w:val="0"/>
          <w:color w:val="auto"/>
          <w:sz w:val="19"/>
          <w:szCs w:val="19"/>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2825FE5E">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3.8.6 </w:t>
      </w:r>
      <w:r>
        <w:rPr>
          <w:rFonts w:hint="default" w:ascii="Arial" w:hAnsi="Arial" w:cs="Arial"/>
          <w:i w:val="0"/>
          <w:color w:val="auto"/>
          <w:sz w:val="19"/>
          <w:szCs w:val="19"/>
        </w:rPr>
        <w:t>Empresas controladoras, controladas ou coligadas, nos termos da Lei nº 6.404, de 15 de dezembro de 1976, concorrendo entre si;</w:t>
      </w:r>
      <w:bookmarkEnd w:id="6"/>
    </w:p>
    <w:p w14:paraId="40A48317">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3.8.7 </w:t>
      </w:r>
      <w:r>
        <w:rPr>
          <w:rFonts w:hint="default" w:ascii="Arial" w:hAnsi="Arial" w:cs="Arial"/>
          <w:i w:val="0"/>
          <w:color w:val="auto"/>
          <w:sz w:val="19"/>
          <w:szCs w:val="19"/>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4C31F2D6">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3.8.8 </w:t>
      </w:r>
      <w:r>
        <w:rPr>
          <w:rFonts w:hint="default" w:ascii="Arial" w:hAnsi="Arial" w:cs="Arial"/>
          <w:i w:val="0"/>
          <w:color w:val="auto"/>
          <w:sz w:val="19"/>
          <w:szCs w:val="19"/>
        </w:rPr>
        <w:t>Agente público do órgão ou entidade licitante;</w:t>
      </w:r>
      <w:bookmarkEnd w:id="7"/>
    </w:p>
    <w:p w14:paraId="1DE5E5E2">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3.8.9 </w:t>
      </w:r>
      <w:r>
        <w:rPr>
          <w:rFonts w:hint="default" w:ascii="Arial" w:hAnsi="Arial" w:cs="Arial"/>
          <w:i w:val="0"/>
          <w:color w:val="auto"/>
          <w:sz w:val="19"/>
          <w:szCs w:val="19"/>
        </w:rPr>
        <w:t>Organizações da Sociedade Civil de Interesse Público - OSCIP, atuando nessa condição;</w:t>
      </w:r>
    </w:p>
    <w:p w14:paraId="46191C5E">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3.8.10 </w:t>
      </w:r>
      <w:r>
        <w:rPr>
          <w:rFonts w:hint="default" w:ascii="Arial" w:hAnsi="Arial" w:cs="Arial"/>
          <w:i w:val="0"/>
          <w:color w:val="auto"/>
          <w:sz w:val="19"/>
          <w:szCs w:val="19"/>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"art9§1" </w:instrText>
      </w:r>
      <w:r>
        <w:rPr>
          <w:rFonts w:hint="default" w:ascii="Arial" w:hAnsi="Arial" w:cs="Arial"/>
          <w:sz w:val="19"/>
          <w:szCs w:val="19"/>
        </w:rPr>
        <w:fldChar w:fldCharType="separate"/>
      </w:r>
      <w:r>
        <w:rPr>
          <w:rStyle w:val="12"/>
          <w:rFonts w:hint="default" w:ascii="Arial" w:hAnsi="Arial" w:cs="Arial"/>
          <w:i w:val="0"/>
          <w:color w:val="auto"/>
          <w:sz w:val="19"/>
          <w:szCs w:val="19"/>
        </w:rPr>
        <w:t>§ 1º do art. 9º da Lei nº 14.133, de 2021</w:t>
      </w:r>
      <w:r>
        <w:rPr>
          <w:rStyle w:val="12"/>
          <w:rFonts w:hint="default" w:ascii="Arial" w:hAnsi="Arial" w:cs="Arial"/>
          <w:i w:val="0"/>
          <w:color w:val="auto"/>
          <w:sz w:val="19"/>
          <w:szCs w:val="19"/>
        </w:rPr>
        <w:fldChar w:fldCharType="end"/>
      </w:r>
      <w:r>
        <w:rPr>
          <w:rFonts w:hint="default" w:ascii="Arial" w:hAnsi="Arial" w:cs="Arial"/>
          <w:i w:val="0"/>
          <w:color w:val="auto"/>
          <w:sz w:val="19"/>
          <w:szCs w:val="19"/>
        </w:rPr>
        <w:t>.</w:t>
      </w:r>
    </w:p>
    <w:p w14:paraId="494C6225">
      <w:pPr>
        <w:pStyle w:val="304"/>
        <w:tabs>
          <w:tab w:val="left" w:pos="1200"/>
        </w:tabs>
        <w:spacing w:before="0" w:after="0" w:line="360" w:lineRule="auto"/>
        <w:rPr>
          <w:rFonts w:hint="default" w:ascii="Arial" w:hAnsi="Arial" w:cs="Arial"/>
          <w:sz w:val="19"/>
          <w:szCs w:val="19"/>
        </w:rPr>
      </w:pPr>
      <w:r>
        <w:rPr>
          <w:rFonts w:hint="default" w:ascii="Arial" w:hAnsi="Arial" w:cs="Arial"/>
          <w:color w:val="auto"/>
          <w:sz w:val="19"/>
          <w:szCs w:val="19"/>
        </w:rPr>
        <w:t xml:space="preserve">3.9 O impedimento de que trata o item </w:t>
      </w:r>
      <w:r>
        <w:rPr>
          <w:rFonts w:hint="default" w:ascii="Arial" w:hAnsi="Arial" w:cs="Arial"/>
          <w:sz w:val="19"/>
          <w:szCs w:val="19"/>
        </w:rPr>
        <w:fldChar w:fldCharType="begin"/>
      </w:r>
      <w:r>
        <w:rPr>
          <w:rFonts w:hint="default" w:ascii="Arial" w:hAnsi="Arial" w:cs="Arial"/>
          <w:sz w:val="19"/>
          <w:szCs w:val="19"/>
        </w:rPr>
        <w:instrText xml:space="preserve"> REF _Ref113883003 \r \h  \* MERGEFORMAT </w:instrText>
      </w:r>
      <w:r>
        <w:rPr>
          <w:rFonts w:hint="default" w:ascii="Arial" w:hAnsi="Arial" w:cs="Arial"/>
          <w:sz w:val="19"/>
          <w:szCs w:val="19"/>
        </w:rPr>
        <w:fldChar w:fldCharType="separate"/>
      </w:r>
      <w:r>
        <w:rPr>
          <w:rFonts w:hint="default" w:ascii="Arial" w:hAnsi="Arial" w:cs="Arial"/>
          <w:color w:val="auto"/>
          <w:sz w:val="19"/>
          <w:szCs w:val="19"/>
        </w:rPr>
        <w:t>3.8.4</w:t>
      </w:r>
      <w:r>
        <w:rPr>
          <w:rFonts w:hint="default" w:ascii="Arial" w:hAnsi="Arial" w:cs="Arial"/>
          <w:color w:val="auto"/>
          <w:sz w:val="19"/>
          <w:szCs w:val="19"/>
        </w:rPr>
        <w:fldChar w:fldCharType="end"/>
      </w:r>
      <w:r>
        <w:rPr>
          <w:rFonts w:hint="default" w:ascii="Arial" w:hAnsi="Arial" w:cs="Arial"/>
          <w:color w:val="auto"/>
          <w:sz w:val="19"/>
          <w:szCs w:val="19"/>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9"/>
          <w:szCs w:val="19"/>
        </w:rPr>
        <w:t xml:space="preserve"> controladora, controlada ou coligada, desde que devidamente comprovado o ilícito ou a utilização fraudulenta da personalidade jurídica do licitante.</w:t>
      </w:r>
    </w:p>
    <w:p w14:paraId="1C7D7018">
      <w:pPr>
        <w:pStyle w:val="304"/>
        <w:spacing w:before="0" w:after="0" w:line="360" w:lineRule="auto"/>
        <w:rPr>
          <w:rFonts w:hint="default" w:ascii="Arial" w:hAnsi="Arial" w:cs="Arial"/>
          <w:sz w:val="19"/>
          <w:szCs w:val="19"/>
        </w:rPr>
      </w:pPr>
      <w:bookmarkStart w:id="8" w:name="art14§2"/>
      <w:bookmarkEnd w:id="8"/>
      <w:r>
        <w:rPr>
          <w:rFonts w:hint="default" w:ascii="Arial" w:hAnsi="Arial" w:cs="Arial"/>
          <w:sz w:val="19"/>
          <w:szCs w:val="19"/>
        </w:rPr>
        <w:t xml:space="preserve">3.10 A critério da Administração e exclusivamente a seu serviço, o autor dos projetos e a empresa a que se referem 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poderão participar no apoio das atividades de planejamento da contratação, de execução da licitação ou de gestão do contrato, desde que sob supervisão exclusiva de agentes públicos do órgão ou entidade.</w:t>
      </w:r>
    </w:p>
    <w:p w14:paraId="7FB98023">
      <w:pPr>
        <w:pStyle w:val="304"/>
        <w:spacing w:before="0" w:after="0" w:line="360" w:lineRule="auto"/>
        <w:rPr>
          <w:rFonts w:hint="default" w:ascii="Arial" w:hAnsi="Arial" w:cs="Arial"/>
          <w:sz w:val="19"/>
          <w:szCs w:val="19"/>
        </w:rPr>
      </w:pPr>
      <w:bookmarkStart w:id="9" w:name="art14§3"/>
      <w:bookmarkEnd w:id="9"/>
      <w:r>
        <w:rPr>
          <w:rFonts w:hint="default" w:ascii="Arial" w:hAnsi="Arial" w:cs="Arial"/>
          <w:sz w:val="19"/>
          <w:szCs w:val="19"/>
        </w:rPr>
        <w:t>3.11 Equiparam-se aos autores do projeto as empresas integrantes do mesmo grupo econômico.</w:t>
      </w:r>
    </w:p>
    <w:p w14:paraId="0D479512">
      <w:pPr>
        <w:pStyle w:val="304"/>
        <w:spacing w:before="0" w:after="0" w:line="360" w:lineRule="auto"/>
        <w:rPr>
          <w:rFonts w:hint="default" w:ascii="Arial" w:hAnsi="Arial" w:cs="Arial"/>
          <w:sz w:val="19"/>
          <w:szCs w:val="19"/>
        </w:rPr>
      </w:pPr>
      <w:bookmarkStart w:id="10" w:name="art14§4"/>
      <w:bookmarkEnd w:id="10"/>
      <w:r>
        <w:rPr>
          <w:rFonts w:hint="default" w:ascii="Arial" w:hAnsi="Arial" w:cs="Arial"/>
          <w:sz w:val="19"/>
          <w:szCs w:val="19"/>
        </w:rPr>
        <w:t xml:space="preserve">3.12 O disposto nos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4BB8BB4">
      <w:pPr>
        <w:pStyle w:val="304"/>
        <w:spacing w:before="0" w:after="0" w:line="360" w:lineRule="auto"/>
        <w:rPr>
          <w:rFonts w:hint="default" w:ascii="Arial" w:hAnsi="Arial" w:cs="Arial"/>
          <w:sz w:val="19"/>
          <w:szCs w:val="19"/>
        </w:rPr>
      </w:pPr>
      <w:bookmarkStart w:id="11" w:name="art14§5"/>
      <w:bookmarkEnd w:id="11"/>
      <w:r>
        <w:rPr>
          <w:rFonts w:hint="default" w:ascii="Arial" w:hAnsi="Arial" w:cs="Arial"/>
          <w:sz w:val="19"/>
          <w:szCs w:val="19"/>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14.133/2021</w:t>
      </w:r>
      <w:r>
        <w:rPr>
          <w:rStyle w:val="12"/>
          <w:rFonts w:hint="default" w:ascii="Arial" w:hAnsi="Arial" w:cs="Arial"/>
          <w:sz w:val="19"/>
          <w:szCs w:val="19"/>
        </w:rPr>
        <w:fldChar w:fldCharType="end"/>
      </w:r>
      <w:r>
        <w:rPr>
          <w:rFonts w:hint="default" w:ascii="Arial" w:hAnsi="Arial" w:cs="Arial"/>
          <w:sz w:val="19"/>
          <w:szCs w:val="19"/>
        </w:rPr>
        <w:t>.</w:t>
      </w:r>
    </w:p>
    <w:p w14:paraId="204D11E4">
      <w:pPr>
        <w:pStyle w:val="304"/>
        <w:spacing w:before="0" w:after="0" w:line="360" w:lineRule="auto"/>
        <w:rPr>
          <w:rFonts w:hint="default" w:ascii="Arial" w:hAnsi="Arial" w:cs="Arial"/>
          <w:sz w:val="19"/>
          <w:szCs w:val="19"/>
        </w:rPr>
      </w:pPr>
      <w:r>
        <w:rPr>
          <w:rFonts w:hint="default" w:ascii="Arial" w:hAnsi="Arial" w:cs="Arial"/>
          <w:sz w:val="19"/>
          <w:szCs w:val="19"/>
        </w:rPr>
        <w:t xml:space="preserve">3.14 A vedação de que trata o item </w:t>
      </w:r>
      <w:r>
        <w:rPr>
          <w:rFonts w:hint="default" w:ascii="Arial" w:hAnsi="Arial" w:cs="Arial"/>
          <w:sz w:val="19"/>
          <w:szCs w:val="19"/>
        </w:rPr>
        <w:fldChar w:fldCharType="begin"/>
      </w:r>
      <w:r>
        <w:rPr>
          <w:rFonts w:hint="default" w:ascii="Arial" w:hAnsi="Arial" w:cs="Arial"/>
          <w:sz w:val="19"/>
          <w:szCs w:val="19"/>
        </w:rPr>
        <w:instrText xml:space="preserve"> REF _Ref113962336 \r \h  \* MERGEFORMAT </w:instrText>
      </w:r>
      <w:r>
        <w:rPr>
          <w:rFonts w:hint="default" w:ascii="Arial" w:hAnsi="Arial" w:cs="Arial"/>
          <w:sz w:val="19"/>
          <w:szCs w:val="19"/>
        </w:rPr>
        <w:fldChar w:fldCharType="separate"/>
      </w:r>
      <w:r>
        <w:rPr>
          <w:rFonts w:hint="default" w:ascii="Arial" w:hAnsi="Arial" w:cs="Arial"/>
          <w:sz w:val="19"/>
          <w:szCs w:val="19"/>
        </w:rPr>
        <w:t>3.8.8</w:t>
      </w:r>
      <w:r>
        <w:rPr>
          <w:rFonts w:hint="default" w:ascii="Arial" w:hAnsi="Arial" w:cs="Arial"/>
          <w:sz w:val="19"/>
          <w:szCs w:val="19"/>
        </w:rPr>
        <w:fldChar w:fldCharType="end"/>
      </w:r>
      <w:r>
        <w:rPr>
          <w:rFonts w:hint="default" w:ascii="Arial" w:hAnsi="Arial" w:cs="Arial"/>
          <w:sz w:val="19"/>
          <w:szCs w:val="19"/>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9"/>
          <w:szCs w:val="19"/>
          <w:lang w:val="pt-BR"/>
        </w:rPr>
      </w:pPr>
      <w:r>
        <w:rPr>
          <w:rFonts w:hint="default" w:ascii="Arial" w:hAnsi="Arial" w:cs="Arial"/>
          <w:sz w:val="19"/>
          <w:szCs w:val="19"/>
          <w:lang w:val="pt-BR"/>
        </w:rPr>
        <w:t>3.15 O objeto social e/ou cnae deve ser compatível com o objeto do certame.</w:t>
      </w:r>
    </w:p>
    <w:p w14:paraId="453A1D35">
      <w:pPr>
        <w:pStyle w:val="304"/>
        <w:spacing w:before="0" w:after="0" w:line="360" w:lineRule="auto"/>
        <w:rPr>
          <w:rFonts w:hint="default" w:ascii="Arial" w:hAnsi="Arial" w:cs="Arial"/>
          <w:sz w:val="19"/>
          <w:szCs w:val="19"/>
          <w:lang w:val="pt-BR"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possui empregados executando trabalho degradante ou forçado, observando o disposto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6"/>
          <w:rFonts w:hint="default" w:ascii="Arial" w:hAnsi="Arial" w:cs="Arial"/>
          <w:sz w:val="19"/>
          <w:szCs w:val="19"/>
        </w:rPr>
        <w:t>incisos III e IV do art. 1º e no inciso III do art. 5º da Constituição Federal</w:t>
      </w:r>
      <w:r>
        <w:rPr>
          <w:rStyle w:val="326"/>
          <w:rFonts w:hint="default" w:ascii="Arial" w:hAnsi="Arial" w:cs="Arial"/>
          <w:sz w:val="19"/>
          <w:szCs w:val="19"/>
        </w:rPr>
        <w:fldChar w:fldCharType="end"/>
      </w:r>
      <w:r>
        <w:rPr>
          <w:rFonts w:hint="default" w:ascii="Arial" w:hAnsi="Arial" w:cs="Arial"/>
          <w:sz w:val="19"/>
          <w:szCs w:val="19"/>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licitante organizado em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"art16" </w:instrText>
      </w:r>
      <w:r>
        <w:rPr>
          <w:rFonts w:hint="default" w:ascii="Arial" w:hAnsi="Arial" w:cs="Arial"/>
          <w:sz w:val="19"/>
          <w:szCs w:val="19"/>
        </w:rPr>
        <w:fldChar w:fldCharType="separate"/>
      </w:r>
      <w:r>
        <w:rPr>
          <w:rStyle w:val="326"/>
          <w:rFonts w:hint="default" w:ascii="Arial" w:hAnsi="Arial" w:cs="Arial"/>
          <w:sz w:val="19"/>
          <w:szCs w:val="19"/>
        </w:rPr>
        <w:t>artigo 16 da Lei nº 14.133, de 2021</w:t>
      </w:r>
      <w:r>
        <w:rPr>
          <w:rStyle w:val="326"/>
          <w:rFonts w:hint="default" w:ascii="Arial" w:hAnsi="Arial" w:cs="Arial"/>
          <w:sz w:val="19"/>
          <w:szCs w:val="19"/>
        </w:rPr>
        <w:fldChar w:fldCharType="end"/>
      </w:r>
      <w:r>
        <w:rPr>
          <w:rFonts w:hint="default" w:ascii="Arial" w:hAnsi="Arial" w:cs="Arial"/>
          <w:sz w:val="19"/>
          <w:szCs w:val="19"/>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"art3" </w:instrText>
      </w:r>
      <w:r>
        <w:rPr>
          <w:rFonts w:hint="default" w:ascii="Arial" w:hAnsi="Arial" w:cs="Arial"/>
          <w:sz w:val="19"/>
          <w:szCs w:val="19"/>
        </w:rPr>
        <w:fldChar w:fldCharType="separate"/>
      </w:r>
      <w:r>
        <w:rPr>
          <w:rStyle w:val="326"/>
          <w:rFonts w:hint="default" w:ascii="Arial" w:hAnsi="Arial" w:cs="Arial"/>
          <w:sz w:val="19"/>
          <w:szCs w:val="19"/>
        </w:rPr>
        <w:t>artigo 3° da Lei Complementar nº 123, de 2006</w:t>
      </w:r>
      <w:r>
        <w:rPr>
          <w:rStyle w:val="326"/>
          <w:rFonts w:hint="default" w:ascii="Arial" w:hAnsi="Arial" w:cs="Arial"/>
          <w:sz w:val="19"/>
          <w:szCs w:val="19"/>
        </w:rPr>
        <w:fldChar w:fldCharType="end"/>
      </w:r>
      <w:r>
        <w:rPr>
          <w:rFonts w:hint="default" w:ascii="Arial" w:hAnsi="Arial" w:cs="Arial"/>
          <w:sz w:val="19"/>
          <w:szCs w:val="19"/>
        </w:rPr>
        <w:t xml:space="preserve">, estando apto a usufruir do tratamento favorecido estabelecido em seus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"art42" </w:instrText>
      </w:r>
      <w:r>
        <w:rPr>
          <w:rFonts w:hint="default" w:ascii="Arial" w:hAnsi="Arial" w:cs="Arial"/>
          <w:sz w:val="19"/>
          <w:szCs w:val="19"/>
        </w:rPr>
        <w:fldChar w:fldCharType="separate"/>
      </w:r>
      <w:r>
        <w:rPr>
          <w:rStyle w:val="326"/>
          <w:rFonts w:hint="default" w:ascii="Arial" w:hAnsi="Arial" w:cs="Arial"/>
          <w:sz w:val="19"/>
          <w:szCs w:val="19"/>
        </w:rPr>
        <w:t>arts. 42 a 49</w:t>
      </w:r>
      <w:r>
        <w:rPr>
          <w:rStyle w:val="326"/>
          <w:rFonts w:hint="default" w:ascii="Arial" w:hAnsi="Arial" w:cs="Arial"/>
          <w:sz w:val="19"/>
          <w:szCs w:val="19"/>
        </w:rPr>
        <w:fldChar w:fldCharType="end"/>
      </w:r>
      <w:r>
        <w:rPr>
          <w:rFonts w:hint="default" w:ascii="Arial" w:hAnsi="Arial" w:cs="Arial"/>
          <w:sz w:val="19"/>
          <w:szCs w:val="19"/>
        </w:rPr>
        <w:t xml:space="preserve">, observado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"art4§1" </w:instrText>
      </w:r>
      <w:r>
        <w:rPr>
          <w:rFonts w:hint="default" w:ascii="Arial" w:hAnsi="Arial" w:cs="Arial"/>
          <w:sz w:val="19"/>
          <w:szCs w:val="19"/>
        </w:rPr>
        <w:fldChar w:fldCharType="separate"/>
      </w:r>
      <w:r>
        <w:rPr>
          <w:rStyle w:val="326"/>
          <w:rFonts w:hint="default" w:ascii="Arial" w:hAnsi="Arial" w:cs="Arial"/>
          <w:sz w:val="19"/>
          <w:szCs w:val="19"/>
        </w:rPr>
        <w:t>§§ 1º ao 3º do art. 4º, da Lei n.º 14.133, de 2021.</w:t>
      </w:r>
      <w:r>
        <w:rPr>
          <w:rStyle w:val="326"/>
          <w:rFonts w:hint="default" w:ascii="Arial" w:hAnsi="Arial" w:cs="Arial"/>
          <w:sz w:val="19"/>
          <w:szCs w:val="19"/>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326"/>
          <w:rFonts w:hint="default" w:ascii="Arial" w:hAnsi="Arial" w:cs="Arial"/>
          <w:sz w:val="19"/>
          <w:szCs w:val="19"/>
        </w:rPr>
        <w:t>Lei Complementar nº 123, de 2006</w:t>
      </w:r>
      <w:r>
        <w:rPr>
          <w:rStyle w:val="326"/>
          <w:rFonts w:hint="default" w:ascii="Arial" w:hAnsi="Arial" w:cs="Arial"/>
          <w:sz w:val="19"/>
          <w:szCs w:val="19"/>
        </w:rPr>
        <w:fldChar w:fldCharType="end"/>
      </w:r>
      <w:r>
        <w:rPr>
          <w:rFonts w:hint="default" w:ascii="Arial" w:hAnsi="Arial" w:cs="Arial"/>
          <w:sz w:val="19"/>
          <w:szCs w:val="19"/>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falsidade da declaração de que trata os itens 4.4 ou 4.6 sujeitará o licitante às sanções previstas na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326"/>
          <w:rFonts w:hint="default" w:ascii="Arial" w:hAnsi="Arial" w:cs="Arial"/>
          <w:sz w:val="19"/>
          <w:szCs w:val="19"/>
        </w:rPr>
        <w:t>Lei nº 14.133, de 2021</w:t>
      </w:r>
      <w:r>
        <w:rPr>
          <w:rStyle w:val="326"/>
          <w:rFonts w:hint="default" w:ascii="Arial" w:hAnsi="Arial" w:cs="Arial"/>
          <w:sz w:val="19"/>
          <w:szCs w:val="19"/>
        </w:rPr>
        <w:fldChar w:fldCharType="end"/>
      </w:r>
      <w:r>
        <w:rPr>
          <w:rFonts w:hint="default" w:ascii="Arial" w:hAnsi="Arial" w:cs="Arial"/>
          <w:sz w:val="19"/>
          <w:szCs w:val="19"/>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os lances serão de envio automático pelo sistema, respeitado o valor final mínimo, caso estabelecido, e o intervalo de que trata o subitem acima.</w:t>
      </w:r>
    </w:p>
    <w:p w14:paraId="1A444B67">
      <w:pPr>
        <w:pStyle w:val="304"/>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valor superior a lance já registrado pelo fornecedor no sistema, quando adotado o critério de julgamento por menor preço; e</w:t>
      </w:r>
    </w:p>
    <w:p w14:paraId="3005D36F">
      <w:pPr>
        <w:pStyle w:val="305"/>
        <w:numPr>
          <w:ilvl w:val="2"/>
          <w:numId w:val="4"/>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Caberá ao licitante interessado em participar da licitação </w:t>
      </w:r>
      <w:r>
        <w:rPr>
          <w:rFonts w:hint="default" w:ascii="Arial" w:hAnsi="Arial" w:cs="Arial"/>
          <w:sz w:val="19"/>
          <w:szCs w:val="19"/>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O licitante deverá </w:t>
      </w:r>
      <w:r>
        <w:rPr>
          <w:rFonts w:hint="default" w:ascii="Arial" w:hAnsi="Arial" w:cs="Arial"/>
          <w:sz w:val="19"/>
          <w:szCs w:val="19"/>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9"/>
          <w:szCs w:val="19"/>
        </w:rPr>
      </w:pPr>
    </w:p>
    <w:p w14:paraId="09F6DAE9">
      <w:pPr>
        <w:spacing w:line="360" w:lineRule="auto"/>
        <w:rPr>
          <w:rFonts w:hint="default" w:ascii="Arial" w:hAnsi="Arial" w:cs="Arial"/>
          <w:sz w:val="19"/>
          <w:szCs w:val="19"/>
        </w:rPr>
      </w:pPr>
      <w:r>
        <w:rPr>
          <w:rFonts w:hint="default" w:ascii="Arial" w:hAnsi="Arial" w:cs="Arial"/>
          <w:b/>
          <w:sz w:val="19"/>
          <w:szCs w:val="19"/>
          <w:lang w:eastAsia="ar-SA"/>
        </w:rPr>
        <w:t xml:space="preserve">5. DA </w:t>
      </w:r>
      <w:r>
        <w:rPr>
          <w:rFonts w:hint="default" w:ascii="Arial" w:hAnsi="Arial" w:cs="Arial"/>
          <w:b/>
          <w:sz w:val="19"/>
          <w:szCs w:val="19"/>
        </w:rPr>
        <w:t>DO PREENCHIMENTO DA PROPOSTA</w:t>
      </w:r>
    </w:p>
    <w:p w14:paraId="2A79A16B">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enviar sua proposta mediante o preenchimento, no sistema eletrônico, dos seguintes campos:</w:t>
      </w:r>
    </w:p>
    <w:p w14:paraId="018FA597">
      <w:pPr>
        <w:pStyle w:val="305"/>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valor total do item</w:t>
      </w:r>
      <w:r>
        <w:rPr>
          <w:rFonts w:hint="default" w:cs="Arial"/>
          <w:sz w:val="19"/>
          <w:szCs w:val="19"/>
          <w:lang w:val="pt-BR"/>
        </w:rPr>
        <w:t>/lote</w:t>
      </w:r>
      <w:r>
        <w:rPr>
          <w:rFonts w:hint="default" w:ascii="Arial" w:hAnsi="Arial" w:cs="Arial"/>
          <w:sz w:val="19"/>
          <w:szCs w:val="19"/>
        </w:rPr>
        <w:t>;</w:t>
      </w:r>
    </w:p>
    <w:p w14:paraId="7C2E65DE">
      <w:pPr>
        <w:pStyle w:val="305"/>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Marca;</w:t>
      </w:r>
    </w:p>
    <w:p w14:paraId="18B0B914">
      <w:pPr>
        <w:pStyle w:val="305"/>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Descrição do objeto, contendo as informações</w:t>
      </w:r>
      <w:r>
        <w:rPr>
          <w:rFonts w:hint="default" w:ascii="Arial" w:hAnsi="Arial" w:cs="Arial"/>
          <w:bCs/>
          <w:sz w:val="19"/>
          <w:szCs w:val="19"/>
        </w:rPr>
        <w:t xml:space="preserve">, que podem ser similares ou de qualidade superior às especificações/informações do Termo de Referência, </w:t>
      </w:r>
      <w:r>
        <w:rPr>
          <w:rFonts w:hint="default" w:ascii="Arial" w:hAnsi="Arial" w:cs="Arial"/>
          <w:b/>
          <w:bCs/>
          <w:sz w:val="19"/>
          <w:szCs w:val="19"/>
        </w:rPr>
        <w:t>ANEXO I deste edital</w:t>
      </w:r>
      <w:r>
        <w:rPr>
          <w:rFonts w:hint="default" w:ascii="Arial" w:hAnsi="Arial" w:cs="Arial"/>
          <w:bCs/>
          <w:sz w:val="19"/>
          <w:szCs w:val="19"/>
        </w:rPr>
        <w:t>.</w:t>
      </w:r>
    </w:p>
    <w:p w14:paraId="3CA49A95">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Todas as especificações do objeto contidas na proposta vinculam o licitante, para todos os efeitos legais.</w:t>
      </w:r>
    </w:p>
    <w:p w14:paraId="6D979207">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Independentemente do percentual de tributo inserido na planilha, no pagamento serão retidos na fonte os percentuais estabelecidos na legislação vigente.</w:t>
      </w:r>
    </w:p>
    <w:p w14:paraId="71F96AC3">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prazo de validade da proposta não será inferior a </w:t>
      </w:r>
      <w:r>
        <w:rPr>
          <w:rFonts w:hint="default" w:ascii="Arial" w:hAnsi="Arial" w:cs="Arial"/>
          <w:b/>
          <w:bCs/>
          <w:sz w:val="19"/>
          <w:szCs w:val="19"/>
        </w:rPr>
        <w:t xml:space="preserve">60 (sessenta) </w:t>
      </w:r>
      <w:r>
        <w:rPr>
          <w:rFonts w:hint="default" w:ascii="Arial" w:hAnsi="Arial" w:cs="Arial"/>
          <w:sz w:val="19"/>
          <w:szCs w:val="19"/>
        </w:rPr>
        <w:t>dias</w:t>
      </w:r>
      <w:r>
        <w:rPr>
          <w:rFonts w:hint="default" w:ascii="Arial" w:hAnsi="Arial" w:cs="Arial"/>
          <w:b/>
          <w:sz w:val="19"/>
          <w:szCs w:val="19"/>
        </w:rPr>
        <w:t>,</w:t>
      </w:r>
      <w:r>
        <w:rPr>
          <w:rFonts w:hint="default" w:ascii="Arial" w:hAnsi="Arial" w:cs="Arial"/>
          <w:sz w:val="19"/>
          <w:szCs w:val="19"/>
        </w:rPr>
        <w:t xml:space="preserve"> a contar da data de sua apresentação.</w:t>
      </w:r>
    </w:p>
    <w:p w14:paraId="446E8D72">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critério de julgamento seja o de maior desconto, o preço já decorrente da aplicação do desconto ofertado deverá respeitar os preços máximos previstos</w:t>
      </w:r>
      <w:r>
        <w:rPr>
          <w:rFonts w:hint="default" w:ascii="Arial" w:hAnsi="Arial" w:cs="Arial"/>
          <w:sz w:val="19"/>
          <w:szCs w:val="19"/>
          <w:lang w:val="pt-BR"/>
        </w:rPr>
        <w:t>.</w:t>
      </w:r>
    </w:p>
    <w:p w14:paraId="445544E7">
      <w:pPr>
        <w:shd w:val="clear" w:color="auto" w:fill="FFFFFF"/>
        <w:tabs>
          <w:tab w:val="left" w:pos="851"/>
          <w:tab w:val="left" w:pos="993"/>
        </w:tabs>
        <w:spacing w:line="360" w:lineRule="auto"/>
        <w:jc w:val="both"/>
        <w:rPr>
          <w:rFonts w:hint="default" w:ascii="Arial" w:hAnsi="Arial" w:cs="Arial"/>
          <w:sz w:val="19"/>
          <w:szCs w:val="19"/>
        </w:rPr>
      </w:pPr>
      <w:r>
        <w:rPr>
          <w:rFonts w:hint="default" w:ascii="Arial" w:hAnsi="Arial" w:cs="Arial"/>
          <w:sz w:val="19"/>
          <w:szCs w:val="19"/>
        </w:rPr>
        <w:t xml:space="preserve">5.9.1.1 Na licitação </w:t>
      </w:r>
      <w:r>
        <w:rPr>
          <w:rFonts w:hint="default" w:ascii="Arial" w:hAnsi="Arial" w:cs="Arial"/>
          <w:sz w:val="19"/>
          <w:szCs w:val="19"/>
          <w:lang w:val="pt-BR"/>
        </w:rPr>
        <w:t>por lote</w:t>
      </w:r>
      <w:r>
        <w:rPr>
          <w:rFonts w:hint="default" w:ascii="Arial" w:hAnsi="Arial" w:cs="Arial"/>
          <w:sz w:val="19"/>
          <w:szCs w:val="19"/>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9"/>
          <w:szCs w:val="19"/>
          <w:lang w:val="pt-BR"/>
        </w:rPr>
        <w:t xml:space="preserve">lote </w:t>
      </w:r>
      <w:r>
        <w:rPr>
          <w:rFonts w:hint="default" w:ascii="Arial" w:hAnsi="Arial" w:cs="Arial"/>
          <w:sz w:val="19"/>
          <w:szCs w:val="19"/>
        </w:rPr>
        <w:t>em seu preço global for vantajoso para a Administração.</w:t>
      </w:r>
    </w:p>
    <w:p w14:paraId="572CC53C">
      <w:pPr>
        <w:pStyle w:val="304"/>
        <w:numPr>
          <w:ilvl w:val="1"/>
          <w:numId w:val="5"/>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5"/>
          <w:rFonts w:hint="default" w:ascii="Arial" w:hAnsi="Arial" w:cs="Arial"/>
          <w:sz w:val="19"/>
          <w:szCs w:val="19"/>
        </w:rPr>
        <w:t>art. 71, inciso IX, da Constituição</w:t>
      </w:r>
      <w:r>
        <w:rPr>
          <w:rStyle w:val="325"/>
          <w:rFonts w:hint="default" w:ascii="Arial" w:hAnsi="Arial" w:cs="Arial"/>
          <w:sz w:val="19"/>
          <w:szCs w:val="19"/>
        </w:rPr>
        <w:fldChar w:fldCharType="end"/>
      </w:r>
      <w:r>
        <w:rPr>
          <w:rFonts w:hint="default" w:ascii="Arial" w:hAnsi="Arial" w:cs="Arial"/>
          <w:sz w:val="19"/>
          <w:szCs w:val="19"/>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9"/>
          <w:szCs w:val="19"/>
        </w:rPr>
      </w:pPr>
      <w:bookmarkStart w:id="16" w:name="_Toc122606107"/>
      <w:bookmarkEnd w:id="16"/>
      <w:bookmarkStart w:id="17" w:name="_Hlk114646655"/>
      <w:r>
        <w:rPr>
          <w:rFonts w:hint="default" w:ascii="Arial" w:hAnsi="Arial" w:cs="Arial"/>
          <w:sz w:val="19"/>
          <w:szCs w:val="19"/>
        </w:rPr>
        <w:t>DA ABERTURA DA SESSÃO, CLASSIFICAÇÃO DAS PROPOSTAS E FORMULAÇÃO DE LANCES</w:t>
      </w:r>
      <w:bookmarkEnd w:id="17"/>
    </w:p>
    <w:p w14:paraId="7E2035D3">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desclassificada a proposta que identifique o licitante.</w:t>
      </w:r>
    </w:p>
    <w:p w14:paraId="041D972E">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desclassificação será sempre fundamentada e registrada no sistema, com acompanhamento em tempo real por todos os participantes.</w:t>
      </w:r>
    </w:p>
    <w:p w14:paraId="14A08CE8">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não desclassificação da proposta não impede o seu julgamento definitivo em sentido contrário, levado a efeito na fase de aceitação.</w:t>
      </w:r>
    </w:p>
    <w:p w14:paraId="69F1C62C">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ordenará automaticamente as propostas classificadas, sendo que somente estas participarão da fase de lances.</w:t>
      </w:r>
    </w:p>
    <w:p w14:paraId="34B2DF36">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disponibilizará campo próprio para troca de mensagens entre o Agente de Contratação e os licitantes.</w:t>
      </w:r>
    </w:p>
    <w:p w14:paraId="395A9AD4">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lance deverá ser ofertado pelo </w:t>
      </w:r>
      <w:r>
        <w:rPr>
          <w:rFonts w:hint="default" w:ascii="Arial" w:hAnsi="Arial" w:cs="Arial"/>
          <w:b/>
          <w:sz w:val="19"/>
          <w:szCs w:val="19"/>
        </w:rPr>
        <w:t>VALOR DO</w:t>
      </w:r>
      <w:r>
        <w:rPr>
          <w:rFonts w:hint="default" w:ascii="Arial" w:hAnsi="Arial" w:cs="Arial"/>
          <w:b/>
          <w:sz w:val="19"/>
          <w:szCs w:val="19"/>
          <w:lang w:val="pt-BR"/>
        </w:rPr>
        <w:t xml:space="preserve"> LOTE.  </w:t>
      </w:r>
      <w:r>
        <w:rPr>
          <w:rFonts w:hint="default" w:ascii="Arial" w:hAnsi="Arial" w:cs="Arial"/>
          <w:b/>
          <w:bCs/>
          <w:color w:val="000000"/>
          <w:sz w:val="19"/>
          <w:szCs w:val="19"/>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24197826">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oferecer lances sucessivos, observando o horário fixado para abertura da sessão e as regras estabelecidas no Edital.</w:t>
      </w:r>
    </w:p>
    <w:p w14:paraId="0C731652">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somente poderá oferecer lance de valor inferior ou percentual de desconto superior ao último por ele ofertado e registrado pelo sistema. </w:t>
      </w:r>
    </w:p>
    <w:p w14:paraId="625C1CBB">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9"/>
          <w:szCs w:val="19"/>
        </w:rPr>
        <w:t>de</w:t>
      </w:r>
      <w:r>
        <w:rPr>
          <w:rFonts w:hint="default" w:ascii="Arial" w:hAnsi="Arial" w:cs="Arial"/>
          <w:iCs/>
          <w:color w:val="FF0000"/>
          <w:sz w:val="19"/>
          <w:szCs w:val="19"/>
        </w:rPr>
        <w:t xml:space="preserve"> </w:t>
      </w:r>
      <w:r>
        <w:rPr>
          <w:rFonts w:hint="default" w:ascii="Arial" w:hAnsi="Arial" w:cs="Arial"/>
          <w:iCs/>
          <w:sz w:val="19"/>
          <w:szCs w:val="19"/>
        </w:rPr>
        <w:t>R$</w:t>
      </w:r>
      <w:r>
        <w:rPr>
          <w:rFonts w:hint="default" w:ascii="Arial" w:hAnsi="Arial" w:cs="Arial"/>
          <w:iCs/>
          <w:sz w:val="19"/>
          <w:szCs w:val="19"/>
          <w:lang w:val="pt-BR"/>
        </w:rPr>
        <w:t xml:space="preserve"> 0,01 (um centavo).</w:t>
      </w:r>
    </w:p>
    <w:p w14:paraId="660B8B86">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poderá, uma única vez, excluir seu último lance ofertado, no intervalo de quinze segundos após o registro no sistema, na hipótese de lance inconsistente ou inexequível.</w:t>
      </w:r>
    </w:p>
    <w:p w14:paraId="18DDD628">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procedimento seguirá de acordo com o modo de disputa “</w:t>
      </w:r>
      <w:r>
        <w:rPr>
          <w:rFonts w:hint="default" w:ascii="Arial" w:hAnsi="Arial" w:cs="Arial"/>
          <w:b/>
          <w:sz w:val="19"/>
          <w:szCs w:val="19"/>
        </w:rPr>
        <w:t>aberto e fechado”.</w:t>
      </w:r>
    </w:p>
    <w:p w14:paraId="7650370E">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apresentarão lances públicos e sucessivos, com lance final e fechado.</w:t>
      </w:r>
    </w:p>
    <w:p w14:paraId="45A891AF">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No procedimento de que trata o subitem supra, o licitante poderá optar por manter o seu último lance da etapa aberta, ou por ofertar melhor lance.</w:t>
      </w:r>
    </w:p>
    <w:p w14:paraId="6740990D">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Após o término dos prazos estabelecidos nos itens anteriores, o sistema ordenará e divulgará os lances segundo a ordem crescente de valores.</w:t>
      </w:r>
    </w:p>
    <w:p w14:paraId="30DEE51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Não serão aceitos dois ou mais lances de mesmo valor, prevalecendo aquele que for recebido e registrado em primeiro lugar. </w:t>
      </w:r>
    </w:p>
    <w:p w14:paraId="3CAD1CE4">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Durante o transcurso da sessão pública, os licitantes serão informados, em tempo real, do valor do menor lance registrado, vedada a identificação do licitante. </w:t>
      </w:r>
    </w:p>
    <w:p w14:paraId="23803F4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licitante não apresente lances, concorrerá com o valor de sua proposta.</w:t>
      </w:r>
    </w:p>
    <w:p w14:paraId="28659A91">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 relação a itens não exclusivos para participação de microempresas e empresas de pequeno porte, uma vez encerrada a etapa de lances</w:t>
      </w:r>
      <w:r>
        <w:rPr>
          <w:rFonts w:hint="default" w:ascii="Arial" w:hAnsi="Arial" w:eastAsia="zurich bt" w:cs="Arial"/>
          <w:sz w:val="19"/>
          <w:szCs w:val="19"/>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"art44" </w:instrText>
      </w:r>
      <w:r>
        <w:rPr>
          <w:rFonts w:hint="default" w:ascii="Arial" w:hAnsi="Arial" w:cs="Arial"/>
          <w:sz w:val="19"/>
          <w:szCs w:val="19"/>
        </w:rPr>
        <w:fldChar w:fldCharType="separate"/>
      </w:r>
      <w:r>
        <w:rPr>
          <w:rStyle w:val="325"/>
          <w:rFonts w:hint="default" w:ascii="Arial" w:hAnsi="Arial" w:eastAsia="zurich bt" w:cs="Arial"/>
          <w:sz w:val="19"/>
          <w:szCs w:val="19"/>
        </w:rPr>
        <w:t>arts. 44 e 45 da Lei Complementar nº 123, de 2006</w:t>
      </w:r>
      <w:r>
        <w:rPr>
          <w:rStyle w:val="325"/>
          <w:rFonts w:hint="default" w:ascii="Arial" w:hAnsi="Arial" w:eastAsia="zurich bt" w:cs="Arial"/>
          <w:sz w:val="19"/>
          <w:szCs w:val="19"/>
        </w:rPr>
        <w:fldChar w:fldCharType="end"/>
      </w:r>
      <w:r>
        <w:rPr>
          <w:rFonts w:hint="default" w:ascii="Arial" w:hAnsi="Arial" w:cs="Arial"/>
          <w:sz w:val="19"/>
          <w:szCs w:val="19"/>
        </w:rPr>
        <w:t>.</w:t>
      </w:r>
    </w:p>
    <w:p w14:paraId="70CFB7F1">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Nessas condições, as propostas de </w:t>
      </w:r>
      <w:r>
        <w:rPr>
          <w:rFonts w:hint="default" w:ascii="Arial" w:hAnsi="Arial" w:eastAsia="zurich bt" w:cs="Arial"/>
          <w:sz w:val="19"/>
          <w:szCs w:val="19"/>
        </w:rPr>
        <w:t xml:space="preserve">microempresas e empresas de pequeno porte </w:t>
      </w:r>
      <w:r>
        <w:rPr>
          <w:rFonts w:hint="default" w:ascii="Arial" w:hAnsi="Arial" w:cs="Arial"/>
          <w:sz w:val="19"/>
          <w:szCs w:val="19"/>
        </w:rPr>
        <w:t>que se encontrarem na faixa de até 5% (cinco por cento) acima da melhor proposta ou melhor lance serão consideradas empatadas com a primeira colocada.</w:t>
      </w:r>
    </w:p>
    <w:p w14:paraId="43F74964">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Caso a </w:t>
      </w:r>
      <w:r>
        <w:rPr>
          <w:rFonts w:hint="default" w:ascii="Arial" w:hAnsi="Arial" w:eastAsia="zurich bt" w:cs="Arial"/>
          <w:sz w:val="19"/>
          <w:szCs w:val="19"/>
        </w:rPr>
        <w:t>microempresa ou a empresa de pequeno porte</w:t>
      </w:r>
      <w:r>
        <w:rPr>
          <w:rFonts w:hint="default" w:ascii="Arial" w:hAnsi="Arial" w:cs="Arial"/>
          <w:sz w:val="19"/>
          <w:szCs w:val="19"/>
        </w:rPr>
        <w:t xml:space="preserve"> melhor classificada desista ou não se manifeste no prazo estabelecido, serão convocadas as demais licitantes </w:t>
      </w:r>
      <w:r>
        <w:rPr>
          <w:rFonts w:hint="default" w:ascii="Arial" w:hAnsi="Arial" w:eastAsia="zurich bt" w:cs="Arial"/>
          <w:sz w:val="19"/>
          <w:szCs w:val="19"/>
        </w:rPr>
        <w:t>microempresa e empresa de pequeno porte</w:t>
      </w:r>
      <w:r>
        <w:rPr>
          <w:rFonts w:hint="default" w:ascii="Arial" w:hAnsi="Arial" w:cs="Arial"/>
          <w:sz w:val="19"/>
          <w:szCs w:val="19"/>
        </w:rPr>
        <w:t xml:space="preserve"> que se encontrem naquele intervalo de 5% (cinco por cento), na ordem de classificação, para o exercício do mesmo direito, no prazo estabelecido no subitem anterior.</w:t>
      </w:r>
    </w:p>
    <w:p w14:paraId="2785491A">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Só poderá haver empate entre propostas iguais (não seguidas de lances), ou entre lances finais da fase fechada do modo de disputa aberto e fechado. </w:t>
      </w:r>
    </w:p>
    <w:p w14:paraId="1EEFB7A9">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Havendo eventual empate entre propostas ou lances, o critério de desempate será aquele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"art60" </w:instrText>
      </w:r>
      <w:r>
        <w:rPr>
          <w:rFonts w:hint="default" w:ascii="Arial" w:hAnsi="Arial" w:cs="Arial"/>
          <w:sz w:val="19"/>
          <w:szCs w:val="19"/>
        </w:rPr>
        <w:fldChar w:fldCharType="separate"/>
      </w:r>
      <w:r>
        <w:rPr>
          <w:rStyle w:val="325"/>
          <w:rFonts w:hint="default" w:ascii="Arial" w:hAnsi="Arial" w:cs="Arial"/>
          <w:sz w:val="19"/>
          <w:szCs w:val="19"/>
        </w:rPr>
        <w:t>art. 60 da Lei nº 14.133, de 2021</w:t>
      </w:r>
      <w:r>
        <w:rPr>
          <w:rStyle w:val="325"/>
          <w:rFonts w:hint="default" w:ascii="Arial" w:hAnsi="Arial" w:cs="Arial"/>
          <w:sz w:val="19"/>
          <w:szCs w:val="19"/>
        </w:rPr>
        <w:fldChar w:fldCharType="end"/>
      </w:r>
      <w:r>
        <w:rPr>
          <w:rFonts w:hint="default" w:ascii="Arial" w:hAnsi="Arial" w:cs="Arial"/>
          <w:sz w:val="19"/>
          <w:szCs w:val="19"/>
        </w:rPr>
        <w:t>, nesta ordem:</w:t>
      </w:r>
    </w:p>
    <w:p w14:paraId="688850D9">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disputa final, hipótese em que os licitantes empatados poderão apresentar nova proposta em ato contínuo à classificação;</w:t>
      </w:r>
    </w:p>
    <w:p w14:paraId="259B7FB5">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ações de equidade entre homens e mulheres no ambiente de trabalho, conforme regulamento;</w:t>
      </w:r>
    </w:p>
    <w:p w14:paraId="007E9709">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programa de integridade, conforme orientações dos órgãos de controle.</w:t>
      </w:r>
    </w:p>
    <w:p w14:paraId="3D0A2561">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Persistindo o empate, será assegurada preferência, sucessivamente, aos bens e serviços produzidos ou prestados por:</w:t>
      </w:r>
    </w:p>
    <w:p w14:paraId="5854640D">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brasileiras;</w:t>
      </w:r>
    </w:p>
    <w:p w14:paraId="449DAD79">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que invistam em pesquisa e no desenvolvimento de tecnologia no País;</w:t>
      </w:r>
    </w:p>
    <w:p w14:paraId="6C75A074">
      <w:pPr>
        <w:pStyle w:val="306"/>
        <w:numPr>
          <w:ilvl w:val="3"/>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empresas que comprovem a prática de mitigação, nos termos da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9"/>
          <w:szCs w:val="19"/>
        </w:rPr>
        <w:fldChar w:fldCharType="separate"/>
      </w:r>
      <w:r>
        <w:rPr>
          <w:rStyle w:val="325"/>
          <w:rFonts w:hint="default" w:ascii="Arial" w:hAnsi="Arial" w:cs="Arial"/>
          <w:sz w:val="19"/>
          <w:szCs w:val="19"/>
        </w:rPr>
        <w:t>Lei nº 12.187, de 29 de dezembro de 2009</w:t>
      </w:r>
      <w:r>
        <w:rPr>
          <w:rStyle w:val="325"/>
          <w:rFonts w:hint="default" w:ascii="Arial" w:hAnsi="Arial" w:cs="Arial"/>
          <w:sz w:val="19"/>
          <w:szCs w:val="19"/>
        </w:rPr>
        <w:fldChar w:fldCharType="end"/>
      </w:r>
      <w:r>
        <w:rPr>
          <w:rFonts w:hint="default" w:ascii="Arial" w:hAnsi="Arial" w:cs="Arial"/>
          <w:sz w:val="19"/>
          <w:szCs w:val="19"/>
        </w:rPr>
        <w:t>.</w:t>
      </w:r>
    </w:p>
    <w:p w14:paraId="6AA75E47">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será realizada por meio do sistema, podendo ser acompanhada pelos demais licitantes.</w:t>
      </w:r>
    </w:p>
    <w:p w14:paraId="389465EA">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resultado da negociação será divulgado a todos os licitantes e anexado aos autos do processo licitatório</w:t>
      </w:r>
    </w:p>
    <w:p w14:paraId="5C0D0B2D">
      <w:pPr>
        <w:pStyle w:val="305"/>
        <w:numPr>
          <w:ilvl w:val="2"/>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7F7B377A">
      <w:pPr>
        <w:pStyle w:val="305"/>
        <w:numPr>
          <w:ilvl w:val="2"/>
          <w:numId w:val="7"/>
        </w:numPr>
        <w:tabs>
          <w:tab w:val="left" w:pos="851"/>
          <w:tab w:val="left" w:pos="993"/>
        </w:tabs>
        <w:spacing w:before="0" w:after="0" w:line="360" w:lineRule="auto"/>
        <w:ind w:left="0" w:firstLine="0"/>
        <w:rPr>
          <w:iCs/>
          <w:sz w:val="19"/>
          <w:szCs w:val="19"/>
        </w:rPr>
      </w:pPr>
      <w:r>
        <w:rPr>
          <w:rFonts w:hint="default" w:ascii="Arial" w:hAnsi="Arial" w:cs="Arial"/>
          <w:sz w:val="19"/>
          <w:szCs w:val="19"/>
        </w:rPr>
        <w:t>É facultado ao Agente de Contratação prorrogar o prazo estabelecido, a partir de solicitação fundamentada feita no chat pelo licitante, antes de findo o prazo.</w:t>
      </w:r>
    </w:p>
    <w:p w14:paraId="31ECBF32">
      <w:pPr>
        <w:pStyle w:val="305"/>
        <w:numPr>
          <w:ilvl w:val="2"/>
          <w:numId w:val="7"/>
        </w:numPr>
        <w:tabs>
          <w:tab w:val="left" w:pos="851"/>
          <w:tab w:val="left" w:pos="993"/>
        </w:tabs>
        <w:spacing w:before="0" w:after="0" w:line="360" w:lineRule="auto"/>
        <w:ind w:left="0" w:firstLine="0"/>
        <w:rPr>
          <w:rFonts w:hint="default" w:ascii="Arial" w:hAnsi="Arial" w:cs="Arial"/>
          <w:iCs/>
          <w:sz w:val="19"/>
          <w:szCs w:val="19"/>
        </w:rPr>
      </w:pPr>
      <w:r>
        <w:rPr>
          <w:rFonts w:hint="default"/>
          <w:iCs/>
          <w:sz w:val="19"/>
          <w:szCs w:val="19"/>
        </w:rPr>
        <w:t>Uma vez adotado este critério de aceitabilidade das propostas, a Administração</w:t>
      </w:r>
      <w:r>
        <w:rPr>
          <w:rFonts w:hint="default"/>
          <w:iCs/>
          <w:sz w:val="19"/>
          <w:szCs w:val="19"/>
          <w:lang w:val="pt-BR"/>
        </w:rPr>
        <w:t xml:space="preserve"> a critério do pregoeiro, </w:t>
      </w:r>
      <w:r>
        <w:rPr>
          <w:rFonts w:hint="default"/>
          <w:iCs/>
          <w:sz w:val="19"/>
          <w:szCs w:val="19"/>
        </w:rPr>
        <w:t>poderá contratar por valor superior, desde que compatível com os valores usualmente praticados no mercado, e devidamente disposto no edital</w:t>
      </w:r>
      <w:r>
        <w:rPr>
          <w:rFonts w:hint="default"/>
          <w:iCs/>
          <w:sz w:val="19"/>
          <w:szCs w:val="19"/>
          <w:lang w:val="pt-BR"/>
        </w:rPr>
        <w:t>.</w:t>
      </w:r>
    </w:p>
    <w:p w14:paraId="2ECFA780">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Após a negociação do preço, o Agente de Contratação iniciará a fase de aceitação e julgamento da proposta.</w:t>
      </w:r>
    </w:p>
    <w:p w14:paraId="161E56A3">
      <w:pPr>
        <w:pStyle w:val="304"/>
        <w:numPr>
          <w:ilvl w:val="1"/>
          <w:numId w:val="7"/>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57F76A6">
      <w:pPr>
        <w:pStyle w:val="304"/>
        <w:numPr>
          <w:ilvl w:val="0"/>
          <w:numId w:val="0"/>
        </w:numPr>
        <w:tabs>
          <w:tab w:val="left" w:pos="851"/>
          <w:tab w:val="left" w:pos="993"/>
        </w:tabs>
        <w:spacing w:before="0" w:after="0" w:line="240" w:lineRule="auto"/>
        <w:ind w:leftChars="0"/>
        <w:rPr>
          <w:rFonts w:hint="default" w:ascii="Arial" w:hAnsi="Arial" w:cs="Arial"/>
          <w:sz w:val="19"/>
          <w:szCs w:val="19"/>
        </w:rPr>
      </w:pPr>
    </w:p>
    <w:p w14:paraId="617BED21">
      <w:pPr>
        <w:pStyle w:val="221"/>
        <w:numPr>
          <w:ilvl w:val="0"/>
          <w:numId w:val="7"/>
        </w:numPr>
        <w:tabs>
          <w:tab w:val="left" w:pos="-6285"/>
        </w:tabs>
        <w:spacing w:line="360" w:lineRule="auto"/>
        <w:ind w:left="0" w:firstLine="0"/>
        <w:jc w:val="both"/>
        <w:rPr>
          <w:rFonts w:hint="default" w:ascii="Arial" w:hAnsi="Arial" w:cs="Arial"/>
          <w:b/>
          <w:sz w:val="19"/>
          <w:szCs w:val="19"/>
        </w:rPr>
      </w:pPr>
      <w:r>
        <w:rPr>
          <w:rFonts w:hint="default" w:ascii="Arial" w:hAnsi="Arial" w:cs="Arial"/>
          <w:b/>
          <w:sz w:val="19"/>
          <w:szCs w:val="19"/>
        </w:rPr>
        <w:t>DA FASE DE JULGAMENTO</w:t>
      </w:r>
    </w:p>
    <w:p w14:paraId="52FD9CD5">
      <w:pPr>
        <w:pStyle w:val="221"/>
        <w:numPr>
          <w:ilvl w:val="1"/>
          <w:numId w:val="8"/>
        </w:numPr>
        <w:tabs>
          <w:tab w:val="left" w:pos="-6285"/>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"art14" </w:instrText>
      </w:r>
      <w:r>
        <w:rPr>
          <w:rFonts w:hint="default" w:ascii="Arial" w:hAnsi="Arial" w:cs="Arial"/>
          <w:sz w:val="19"/>
          <w:szCs w:val="19"/>
        </w:rPr>
        <w:fldChar w:fldCharType="separate"/>
      </w:r>
      <w:r>
        <w:rPr>
          <w:rStyle w:val="325"/>
          <w:rFonts w:hint="default" w:ascii="Arial" w:hAnsi="Arial" w:cs="Arial"/>
          <w:sz w:val="19"/>
          <w:szCs w:val="19"/>
        </w:rPr>
        <w:t>art. 14 da Lei nº 14.133/2021</w:t>
      </w:r>
      <w:r>
        <w:rPr>
          <w:rStyle w:val="325"/>
          <w:rFonts w:hint="default" w:ascii="Arial" w:hAnsi="Arial" w:cs="Arial"/>
          <w:sz w:val="19"/>
          <w:szCs w:val="19"/>
        </w:rPr>
        <w:fldChar w:fldCharType="end"/>
      </w:r>
      <w:r>
        <w:rPr>
          <w:rFonts w:hint="default" w:ascii="Arial" w:hAnsi="Arial" w:cs="Arial"/>
          <w:sz w:val="19"/>
          <w:szCs w:val="19"/>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a) SICAF;  </w:t>
      </w:r>
    </w:p>
    <w:p w14:paraId="3E55520A">
      <w:pPr>
        <w:pStyle w:val="221"/>
        <w:spacing w:line="360" w:lineRule="auto"/>
        <w:ind w:left="0"/>
        <w:jc w:val="both"/>
        <w:rPr>
          <w:rFonts w:hint="default" w:ascii="Arial" w:hAnsi="Arial" w:cs="Arial"/>
          <w:sz w:val="19"/>
          <w:szCs w:val="19"/>
        </w:rPr>
      </w:pPr>
      <w:r>
        <w:rPr>
          <w:rFonts w:hint="default" w:ascii="Arial" w:hAnsi="Arial" w:cs="Arial"/>
          <w:sz w:val="19"/>
          <w:szCs w:val="19"/>
        </w:rPr>
        <w:t>b) Cadastro Nacional de Empresas Inidôneas e Suspensas - CEIS,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"https://www.portaltransparencia.gov.br/sancoes/ceis"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https://www.portaltransparencia.gov.br/sancoes/ceis</w:t>
      </w:r>
      <w:r>
        <w:rPr>
          <w:rStyle w:val="325"/>
          <w:rFonts w:hint="default" w:ascii="Arial" w:hAnsi="Arial" w:cs="Arial"/>
          <w:color w:val="auto"/>
          <w:sz w:val="19"/>
          <w:szCs w:val="19"/>
        </w:rPr>
        <w:fldChar w:fldCharType="end"/>
      </w:r>
      <w:r>
        <w:rPr>
          <w:rFonts w:hint="default" w:ascii="Arial" w:hAnsi="Arial" w:cs="Arial"/>
          <w:sz w:val="19"/>
          <w:szCs w:val="19"/>
        </w:rPr>
        <w:t xml:space="preserve">); </w:t>
      </w:r>
    </w:p>
    <w:p w14:paraId="0D26E3E0">
      <w:pPr>
        <w:pStyle w:val="221"/>
        <w:spacing w:line="360" w:lineRule="auto"/>
        <w:ind w:left="0"/>
        <w:jc w:val="both"/>
        <w:rPr>
          <w:rFonts w:hint="default" w:ascii="Arial" w:hAnsi="Arial" w:cs="Arial"/>
          <w:sz w:val="19"/>
          <w:szCs w:val="19"/>
        </w:rPr>
      </w:pPr>
      <w:r>
        <w:rPr>
          <w:rFonts w:hint="default" w:ascii="Arial" w:hAnsi="Arial" w:cs="Arial"/>
          <w:sz w:val="19"/>
          <w:szCs w:val="19"/>
        </w:rPr>
        <w:t>c) Tribunal de Contas do Estado de Minas Gerais - TCE-MG;</w:t>
      </w:r>
    </w:p>
    <w:p w14:paraId="110D1F42">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d) Cadastro Geral de Fornecedores do Estado de Minas Gerais (CAGEF), gerenciado pela Secretaria de Estado de Planejamento e Gestão - SEPLAG; </w:t>
      </w:r>
      <w:r>
        <w:rPr>
          <w:rFonts w:hint="default" w:ascii="Arial" w:hAnsi="Arial" w:cs="Arial"/>
          <w:sz w:val="19"/>
          <w:szCs w:val="19"/>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9"/>
          <w:szCs w:val="19"/>
        </w:rPr>
      </w:pPr>
      <w:r>
        <w:rPr>
          <w:rFonts w:hint="default" w:ascii="Arial" w:hAnsi="Arial" w:cs="Arial"/>
          <w:sz w:val="19"/>
          <w:szCs w:val="19"/>
        </w:rPr>
        <w:t>e) Cadastro Nacional de Empresas Punidas – CNEP,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"https://www.portaltransparencia.gov.br/sancoes/cnep"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https://www.portaltransparencia.gov.br/sancoes/cnep</w:t>
      </w:r>
      <w:r>
        <w:rPr>
          <w:rStyle w:val="325"/>
          <w:rFonts w:hint="default" w:ascii="Arial" w:hAnsi="Arial" w:cs="Arial"/>
          <w:color w:val="auto"/>
          <w:sz w:val="19"/>
          <w:szCs w:val="19"/>
        </w:rPr>
        <w:fldChar w:fldCharType="end"/>
      </w:r>
      <w:r>
        <w:rPr>
          <w:rFonts w:hint="default" w:ascii="Arial" w:hAnsi="Arial" w:cs="Arial"/>
          <w:sz w:val="19"/>
          <w:szCs w:val="19"/>
        </w:rPr>
        <w:t>).</w:t>
      </w:r>
    </w:p>
    <w:p w14:paraId="725EB89B">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f) Cadastro Municipal de Empresas Inidôneas e Suspensas </w:t>
      </w:r>
    </w:p>
    <w:p w14:paraId="256E8DBB">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A consulta aos cadastros será realizada em nome da empresa licitante e também de seu sócio majoritário, por força da vedação de que trata 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":~:text=%C3%A0s%20seguintes%20comina%C3%A7%C3%B5es%3A-,Art.,n%C2%BA%2012.120%2C%20de%202009)." </w:instrText>
      </w:r>
      <w:r>
        <w:rPr>
          <w:rFonts w:hint="default" w:ascii="Arial" w:hAnsi="Arial" w:cs="Arial"/>
          <w:sz w:val="19"/>
          <w:szCs w:val="19"/>
        </w:rPr>
        <w:fldChar w:fldCharType="separate"/>
      </w:r>
      <w:r>
        <w:rPr>
          <w:rStyle w:val="325"/>
          <w:rFonts w:hint="default" w:ascii="Arial" w:hAnsi="Arial" w:cs="Arial"/>
          <w:sz w:val="19"/>
          <w:szCs w:val="19"/>
        </w:rPr>
        <w:t>artigo 12 da Lei n° 8.429, de 1992</w:t>
      </w:r>
      <w:r>
        <w:rPr>
          <w:rStyle w:val="325"/>
          <w:rFonts w:hint="default" w:ascii="Arial" w:hAnsi="Arial" w:cs="Arial"/>
          <w:sz w:val="19"/>
          <w:szCs w:val="19"/>
        </w:rPr>
        <w:fldChar w:fldCharType="end"/>
      </w:r>
      <w:r>
        <w:rPr>
          <w:rFonts w:hint="default" w:ascii="Arial" w:hAnsi="Arial" w:cs="Arial"/>
          <w:sz w:val="19"/>
          <w:szCs w:val="19"/>
        </w:rPr>
        <w:t xml:space="preserve">, </w:t>
      </w:r>
      <w:r>
        <w:rPr>
          <w:rFonts w:hint="default" w:ascii="Arial" w:hAnsi="Arial" w:cs="Arial"/>
          <w:bCs/>
          <w:sz w:val="19"/>
          <w:szCs w:val="19"/>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29,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F4AB838">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tentativa de burla será verificada por meio dos vínculos societários, linhas de fornecimento similares, dentre outros.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§1º</w:t>
      </w:r>
      <w:r>
        <w:rPr>
          <w:rStyle w:val="325"/>
          <w:rFonts w:hint="default" w:ascii="Arial" w:hAnsi="Arial" w:cs="Arial"/>
          <w:sz w:val="19"/>
          <w:szCs w:val="19"/>
        </w:rPr>
        <w:fldChar w:fldCharType="end"/>
      </w:r>
      <w:r>
        <w:rPr>
          <w:rFonts w:hint="default" w:ascii="Arial" w:hAnsi="Arial" w:cs="Arial"/>
          <w:sz w:val="19"/>
          <w:szCs w:val="19"/>
        </w:rPr>
        <w:t>).</w:t>
      </w:r>
    </w:p>
    <w:p w14:paraId="0C44FBFF">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será convocado para manifestação previamente a uma eventual desclassificação.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§2º</w:t>
      </w:r>
      <w:r>
        <w:rPr>
          <w:rStyle w:val="325"/>
          <w:rFonts w:hint="default" w:ascii="Arial" w:hAnsi="Arial" w:cs="Arial"/>
          <w:sz w:val="19"/>
          <w:szCs w:val="19"/>
        </w:rPr>
        <w:fldChar w:fldCharType="end"/>
      </w:r>
      <w:r>
        <w:rPr>
          <w:rFonts w:hint="default" w:ascii="Arial" w:hAnsi="Arial" w:cs="Arial"/>
          <w:sz w:val="19"/>
          <w:szCs w:val="19"/>
        </w:rPr>
        <w:t>).</w:t>
      </w:r>
    </w:p>
    <w:p w14:paraId="44D7EB39">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Constatada a existência de sanção, o licitante será reputado inabilitado, por falta de condição de participação.</w:t>
      </w:r>
    </w:p>
    <w:p w14:paraId="1D38E720">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atendidas as condições de participação, será iniciado o procedimento de habilitação.</w:t>
      </w:r>
    </w:p>
    <w:p w14:paraId="493ADD0E">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artigo 29 a 35 da IN SEGES nº 73, de 30 de setembro de 2022</w:t>
      </w:r>
      <w:r>
        <w:rPr>
          <w:rStyle w:val="325"/>
          <w:rFonts w:hint="default" w:ascii="Arial" w:hAnsi="Arial" w:cs="Arial"/>
          <w:sz w:val="19"/>
          <w:szCs w:val="19"/>
        </w:rPr>
        <w:fldChar w:fldCharType="end"/>
      </w:r>
      <w:r>
        <w:rPr>
          <w:rFonts w:hint="default" w:ascii="Arial" w:hAnsi="Arial" w:cs="Arial"/>
          <w:sz w:val="19"/>
          <w:szCs w:val="19"/>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inexequibilidade, na hipótese de que trata o </w:t>
      </w:r>
      <w:r>
        <w:rPr>
          <w:rFonts w:hint="default" w:ascii="Arial" w:hAnsi="Arial" w:cs="Arial"/>
          <w:b/>
          <w:bCs/>
          <w:sz w:val="19"/>
          <w:szCs w:val="19"/>
        </w:rPr>
        <w:t>caput</w:t>
      </w:r>
      <w:r>
        <w:rPr>
          <w:rFonts w:hint="default" w:ascii="Arial" w:hAnsi="Arial" w:cs="Arial"/>
          <w:sz w:val="19"/>
          <w:szCs w:val="19"/>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No regime de empreitada por preço unitário, a caracterização do sobrepreço se dará pela superação do valor global estimado e </w:t>
      </w:r>
      <w:r>
        <w:rPr>
          <w:rFonts w:hint="default" w:ascii="Arial" w:hAnsi="Arial" w:cs="Arial"/>
          <w:iCs/>
          <w:sz w:val="19"/>
          <w:szCs w:val="19"/>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8"/>
        </w:numPr>
        <w:tabs>
          <w:tab w:val="left" w:pos="709"/>
          <w:tab w:val="left" w:pos="851"/>
          <w:tab w:val="left" w:pos="993"/>
        </w:tabs>
        <w:spacing w:before="0" w:after="0" w:line="360" w:lineRule="auto"/>
        <w:ind w:left="0" w:firstLine="0"/>
        <w:rPr>
          <w:rFonts w:hint="default" w:ascii="Arial" w:hAnsi="Arial" w:cs="Arial"/>
          <w:b/>
          <w:i/>
          <w:iCs/>
          <w:sz w:val="19"/>
          <w:szCs w:val="19"/>
        </w:rPr>
      </w:pPr>
      <w:r>
        <w:rPr>
          <w:rFonts w:hint="default" w:ascii="Arial" w:hAnsi="Arial" w:cs="Arial"/>
          <w:b/>
          <w:sz w:val="19"/>
          <w:szCs w:val="19"/>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b/>
          <w:sz w:val="19"/>
          <w:szCs w:val="19"/>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9"/>
          <w:szCs w:val="19"/>
        </w:rPr>
      </w:pPr>
      <w:bookmarkStart w:id="18" w:name="_Toc122606109"/>
      <w:bookmarkEnd w:id="18"/>
      <w:r>
        <w:rPr>
          <w:rFonts w:hint="default" w:ascii="Arial" w:hAnsi="Arial" w:cs="Arial"/>
          <w:sz w:val="19"/>
          <w:szCs w:val="19"/>
        </w:rPr>
        <w:t>8   DA FASE DE HABILITAÇÃO</w:t>
      </w:r>
    </w:p>
    <w:p w14:paraId="04D6E58C">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"art62" </w:instrText>
      </w:r>
      <w:r>
        <w:rPr>
          <w:rFonts w:hint="default" w:ascii="Arial" w:hAnsi="Arial" w:cs="Arial"/>
          <w:sz w:val="19"/>
          <w:szCs w:val="19"/>
        </w:rPr>
        <w:fldChar w:fldCharType="separate"/>
      </w:r>
      <w:r>
        <w:rPr>
          <w:rStyle w:val="325"/>
          <w:rFonts w:hint="default" w:ascii="Arial" w:hAnsi="Arial" w:cs="Arial"/>
          <w:sz w:val="19"/>
          <w:szCs w:val="19"/>
        </w:rPr>
        <w:t>arts. 62 a 70 da Lei nº 14.133, de 2021</w:t>
      </w:r>
      <w:r>
        <w:rPr>
          <w:rStyle w:val="325"/>
          <w:rFonts w:hint="default" w:ascii="Arial" w:hAnsi="Arial" w:cs="Arial"/>
          <w:sz w:val="19"/>
          <w:szCs w:val="19"/>
        </w:rPr>
        <w:fldChar w:fldCharType="end"/>
      </w:r>
      <w:r>
        <w:rPr>
          <w:rFonts w:hint="default" w:ascii="Arial" w:hAnsi="Arial" w:cs="Arial"/>
          <w:sz w:val="19"/>
          <w:szCs w:val="19"/>
        </w:rPr>
        <w:t>.</w:t>
      </w:r>
      <w:bookmarkStart w:id="19" w:name="_Ref114663777"/>
      <w:bookmarkEnd w:id="19"/>
    </w:p>
    <w:p w14:paraId="53ED21C1">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declaração de que atende aos requisitos de habilitação, e o declarante responderá pela veracidade das informações prestadas, na forma da lei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"art63" </w:instrText>
      </w:r>
      <w:r>
        <w:rPr>
          <w:rFonts w:hint="default" w:ascii="Arial" w:hAnsi="Arial" w:cs="Arial"/>
          <w:sz w:val="19"/>
          <w:szCs w:val="19"/>
        </w:rPr>
        <w:fldChar w:fldCharType="separate"/>
      </w:r>
      <w:r>
        <w:rPr>
          <w:rStyle w:val="325"/>
          <w:rFonts w:hint="default" w:ascii="Arial" w:hAnsi="Arial" w:cs="Arial"/>
          <w:sz w:val="19"/>
          <w:szCs w:val="19"/>
        </w:rPr>
        <w:t>art. 63, I, da Lei nº 14.133/2021</w:t>
      </w:r>
      <w:r>
        <w:rPr>
          <w:rStyle w:val="325"/>
          <w:rFonts w:hint="default" w:ascii="Arial" w:hAnsi="Arial" w:cs="Arial"/>
          <w:sz w:val="19"/>
          <w:szCs w:val="19"/>
        </w:rPr>
        <w:fldChar w:fldCharType="end"/>
      </w:r>
      <w:r>
        <w:rPr>
          <w:rFonts w:hint="default" w:ascii="Arial" w:hAnsi="Arial" w:cs="Arial"/>
          <w:sz w:val="19"/>
          <w:szCs w:val="19"/>
        </w:rPr>
        <w:t>).</w:t>
      </w:r>
    </w:p>
    <w:p w14:paraId="72595233">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709"/>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 habilitação será verificada por meio do Sicaf, nos documentos por ele abrangidos.</w:t>
      </w:r>
    </w:p>
    <w:p w14:paraId="4DB16ED0">
      <w:pPr>
        <w:tabs>
          <w:tab w:val="left" w:pos="993"/>
        </w:tabs>
        <w:spacing w:line="360" w:lineRule="auto"/>
        <w:jc w:val="both"/>
        <w:rPr>
          <w:rFonts w:hint="default" w:ascii="Arial" w:hAnsi="Arial" w:cs="Arial"/>
          <w:b/>
          <w:sz w:val="19"/>
          <w:szCs w:val="19"/>
        </w:rPr>
      </w:pPr>
      <w:r>
        <w:rPr>
          <w:rFonts w:hint="default" w:ascii="Arial" w:hAnsi="Arial" w:cs="Arial"/>
          <w:b/>
          <w:sz w:val="19"/>
          <w:szCs w:val="19"/>
        </w:rPr>
        <w:t>8.9.1 Nível I – Credenciamento:</w:t>
      </w:r>
    </w:p>
    <w:p w14:paraId="2CCC8986">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8.9.1.1 Inscrição CNPJ </w:t>
      </w:r>
    </w:p>
    <w:p w14:paraId="1C140691">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8.9.1.2 CPF do(s) dirigente (es), sócio(s); </w:t>
      </w:r>
    </w:p>
    <w:p w14:paraId="1C863890">
      <w:pPr>
        <w:tabs>
          <w:tab w:val="left" w:pos="993"/>
        </w:tabs>
        <w:spacing w:line="360" w:lineRule="auto"/>
        <w:jc w:val="both"/>
        <w:rPr>
          <w:rFonts w:hint="default" w:ascii="Arial" w:hAnsi="Arial" w:cs="Arial"/>
          <w:sz w:val="19"/>
          <w:szCs w:val="19"/>
        </w:rPr>
      </w:pPr>
    </w:p>
    <w:p w14:paraId="30DDEC67">
      <w:pPr>
        <w:tabs>
          <w:tab w:val="left" w:pos="993"/>
        </w:tabs>
        <w:spacing w:line="360" w:lineRule="auto"/>
        <w:jc w:val="both"/>
        <w:rPr>
          <w:rFonts w:hint="default" w:ascii="Arial" w:hAnsi="Arial" w:cs="Arial"/>
          <w:sz w:val="19"/>
          <w:szCs w:val="19"/>
        </w:rPr>
      </w:pPr>
    </w:p>
    <w:p w14:paraId="2D943C63">
      <w:pPr>
        <w:tabs>
          <w:tab w:val="left" w:pos="993"/>
        </w:tabs>
        <w:jc w:val="both"/>
        <w:rPr>
          <w:rFonts w:hint="default" w:ascii="Arial" w:hAnsi="Arial" w:cs="Arial"/>
          <w:sz w:val="19"/>
          <w:szCs w:val="19"/>
        </w:rPr>
      </w:pPr>
      <w:r>
        <w:rPr>
          <w:rFonts w:hint="default" w:ascii="Arial" w:hAnsi="Arial" w:cs="Arial"/>
          <w:sz w:val="19"/>
          <w:szCs w:val="19"/>
        </w:rPr>
        <w:t xml:space="preserve"> </w:t>
      </w:r>
    </w:p>
    <w:p w14:paraId="2EE7F7D7">
      <w:pPr>
        <w:tabs>
          <w:tab w:val="left" w:pos="993"/>
        </w:tabs>
        <w:spacing w:line="360" w:lineRule="auto"/>
        <w:jc w:val="both"/>
        <w:rPr>
          <w:rFonts w:hint="default" w:ascii="Arial" w:hAnsi="Arial" w:cs="Arial"/>
          <w:b/>
          <w:sz w:val="19"/>
          <w:szCs w:val="19"/>
        </w:rPr>
      </w:pPr>
      <w:r>
        <w:rPr>
          <w:rFonts w:hint="default" w:ascii="Arial" w:hAnsi="Arial" w:cs="Arial"/>
          <w:b/>
          <w:sz w:val="19"/>
          <w:szCs w:val="19"/>
        </w:rPr>
        <w:t>8.9.2 Nível II – Habilitação Jurídica:</w:t>
      </w:r>
    </w:p>
    <w:p w14:paraId="3916C350">
      <w:pPr>
        <w:tabs>
          <w:tab w:val="left" w:pos="993"/>
        </w:tabs>
        <w:spacing w:line="360" w:lineRule="auto"/>
        <w:jc w:val="both"/>
        <w:rPr>
          <w:rFonts w:hint="default" w:ascii="Arial" w:hAnsi="Arial" w:cs="Arial"/>
          <w:sz w:val="19"/>
          <w:szCs w:val="19"/>
        </w:rPr>
      </w:pPr>
      <w:r>
        <w:rPr>
          <w:rFonts w:hint="default" w:ascii="Arial" w:hAnsi="Arial" w:cs="Arial"/>
          <w:sz w:val="19"/>
          <w:szCs w:val="19"/>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9"/>
          <w:szCs w:val="19"/>
        </w:rPr>
      </w:pPr>
      <w:r>
        <w:rPr>
          <w:rFonts w:hint="default" w:ascii="Arial" w:hAnsi="Arial" w:cs="Arial"/>
          <w:bCs/>
          <w:sz w:val="19"/>
          <w:szCs w:val="19"/>
        </w:rPr>
        <w:t xml:space="preserve"> </w:t>
      </w:r>
    </w:p>
    <w:p w14:paraId="17622EFA">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8.9.3 Nível III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"A4" </w:instrText>
      </w:r>
      <w:r>
        <w:rPr>
          <w:rFonts w:hint="default" w:ascii="Arial" w:hAnsi="Arial" w:cs="Arial"/>
          <w:sz w:val="19"/>
          <w:szCs w:val="19"/>
        </w:rPr>
        <w:fldChar w:fldCharType="separate"/>
      </w:r>
      <w:r>
        <w:rPr>
          <w:rStyle w:val="12"/>
          <w:rFonts w:hint="default" w:ascii="Arial" w:hAnsi="Arial" w:cs="Arial"/>
          <w:b/>
          <w:sz w:val="19"/>
          <w:szCs w:val="19"/>
        </w:rPr>
        <w:t>Regularidade Fiscal Federal e trabalhista</w:t>
      </w:r>
      <w:r>
        <w:rPr>
          <w:rStyle w:val="12"/>
          <w:rFonts w:hint="default" w:ascii="Arial" w:hAnsi="Arial" w:cs="Arial"/>
          <w:b/>
          <w:sz w:val="19"/>
          <w:szCs w:val="19"/>
        </w:rPr>
        <w:fldChar w:fldCharType="end"/>
      </w:r>
      <w:r>
        <w:rPr>
          <w:rFonts w:hint="default" w:ascii="Arial" w:hAnsi="Arial" w:cs="Arial"/>
          <w:b/>
          <w:sz w:val="19"/>
          <w:szCs w:val="19"/>
        </w:rPr>
        <w:t>:</w:t>
      </w:r>
    </w:p>
    <w:p w14:paraId="50E351B0">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9"/>
          <w:szCs w:val="19"/>
        </w:rPr>
      </w:pPr>
      <w:r>
        <w:rPr>
          <w:rFonts w:hint="default" w:ascii="Arial" w:hAnsi="Arial" w:cs="Arial"/>
          <w:sz w:val="19"/>
          <w:szCs w:val="19"/>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9"/>
          <w:szCs w:val="19"/>
        </w:rPr>
      </w:pPr>
      <w:r>
        <w:rPr>
          <w:rFonts w:hint="default" w:ascii="Arial" w:hAnsi="Arial" w:cs="Arial"/>
          <w:sz w:val="19"/>
          <w:szCs w:val="19"/>
        </w:rPr>
        <w:t>8.9.3.3 Prova de Regularidade Trabalhista (CNDT).</w:t>
      </w:r>
    </w:p>
    <w:p w14:paraId="4C265D48">
      <w:pP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5667E184">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8.9.4 Nível IV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"A5" </w:instrText>
      </w:r>
      <w:r>
        <w:rPr>
          <w:rFonts w:hint="default" w:ascii="Arial" w:hAnsi="Arial" w:cs="Arial"/>
          <w:sz w:val="19"/>
          <w:szCs w:val="19"/>
        </w:rPr>
        <w:fldChar w:fldCharType="separate"/>
      </w:r>
      <w:r>
        <w:rPr>
          <w:rStyle w:val="12"/>
          <w:rFonts w:hint="default" w:ascii="Arial" w:hAnsi="Arial" w:cs="Arial"/>
          <w:b/>
          <w:sz w:val="19"/>
          <w:szCs w:val="19"/>
        </w:rPr>
        <w:t>Regularidade Fiscal Estadual e Municipal</w:t>
      </w:r>
      <w:r>
        <w:rPr>
          <w:rStyle w:val="12"/>
          <w:rFonts w:hint="default" w:ascii="Arial" w:hAnsi="Arial" w:cs="Arial"/>
          <w:b/>
          <w:sz w:val="19"/>
          <w:szCs w:val="19"/>
        </w:rPr>
        <w:fldChar w:fldCharType="end"/>
      </w:r>
      <w:r>
        <w:rPr>
          <w:rFonts w:hint="default" w:ascii="Arial" w:hAnsi="Arial" w:cs="Arial"/>
          <w:b/>
          <w:sz w:val="19"/>
          <w:szCs w:val="19"/>
        </w:rPr>
        <w:t>:</w:t>
      </w:r>
    </w:p>
    <w:p w14:paraId="5A2C8AAA">
      <w:pPr>
        <w:tabs>
          <w:tab w:val="left" w:pos="993"/>
        </w:tabs>
        <w:spacing w:line="360" w:lineRule="auto"/>
        <w:jc w:val="both"/>
        <w:rPr>
          <w:rFonts w:hint="default" w:ascii="Arial" w:hAnsi="Arial" w:cs="Arial"/>
          <w:sz w:val="19"/>
          <w:szCs w:val="19"/>
        </w:rPr>
      </w:pPr>
      <w:r>
        <w:rPr>
          <w:rFonts w:hint="default" w:ascii="Arial" w:hAnsi="Arial" w:cs="Arial"/>
          <w:sz w:val="19"/>
          <w:szCs w:val="19"/>
        </w:rPr>
        <w:t>8.9.4.1 Prova de Regularidade com a Fazenda Estadual;</w:t>
      </w:r>
    </w:p>
    <w:p w14:paraId="1BB601BB">
      <w:pPr>
        <w:tabs>
          <w:tab w:val="left" w:pos="993"/>
        </w:tabs>
        <w:spacing w:line="360" w:lineRule="auto"/>
        <w:jc w:val="both"/>
        <w:rPr>
          <w:rFonts w:hint="default" w:ascii="Arial" w:hAnsi="Arial" w:cs="Arial"/>
          <w:b/>
          <w:sz w:val="19"/>
          <w:szCs w:val="19"/>
        </w:rPr>
      </w:pPr>
      <w:r>
        <w:rPr>
          <w:rFonts w:hint="default" w:ascii="Arial" w:hAnsi="Arial" w:cs="Arial"/>
          <w:sz w:val="19"/>
          <w:szCs w:val="19"/>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highlight w:val="yellow"/>
        </w:rPr>
      </w:pPr>
      <w:r>
        <w:rPr>
          <w:rFonts w:hint="default" w:ascii="Arial" w:hAnsi="Arial" w:cs="Arial"/>
          <w:b/>
          <w:sz w:val="19"/>
          <w:szCs w:val="19"/>
        </w:rPr>
        <w:t xml:space="preserve"> </w:t>
      </w:r>
    </w:p>
    <w:p w14:paraId="21CB3FDA">
      <w:pPr>
        <w:pStyle w:val="221"/>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9"/>
          <w:szCs w:val="19"/>
        </w:rPr>
      </w:pPr>
      <w:r>
        <w:rPr>
          <w:rFonts w:hint="default" w:ascii="Arial" w:hAnsi="Arial" w:cs="Arial"/>
          <w:b/>
          <w:sz w:val="19"/>
          <w:szCs w:val="19"/>
          <w:highlight w:val="yellow"/>
        </w:rPr>
        <w:t xml:space="preserve">Nível V - Da Qualificação Técnica </w:t>
      </w:r>
    </w:p>
    <w:p w14:paraId="3CACEA57">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cs="Arial"/>
          <w:sz w:val="19"/>
          <w:szCs w:val="19"/>
        </w:rPr>
      </w:pPr>
      <w:r>
        <w:rPr>
          <w:rFonts w:hint="default" w:ascii="Arial" w:hAnsi="Arial" w:eastAsia="Times New Roman" w:cs="Arial"/>
          <w:sz w:val="19"/>
          <w:szCs w:val="19"/>
          <w:rtl w:val="0"/>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382AA49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bCs/>
          <w:sz w:val="19"/>
          <w:szCs w:val="19"/>
          <w:u w:val="single"/>
          <w:lang w:val="pt-BR"/>
        </w:rPr>
      </w:pPr>
      <w:r>
        <w:rPr>
          <w:rFonts w:hint="default" w:ascii="Arial" w:hAnsi="Arial" w:cs="Arial"/>
          <w:b/>
          <w:bCs/>
          <w:sz w:val="19"/>
          <w:szCs w:val="19"/>
          <w:lang w:val="pt-BR"/>
        </w:rPr>
        <w:t xml:space="preserve">8.9.5.2.1 </w:t>
      </w:r>
      <w:r>
        <w:rPr>
          <w:rFonts w:hint="default" w:ascii="Arial" w:hAnsi="Arial" w:eastAsia="Times New Roman" w:cs="Arial"/>
          <w:b/>
          <w:bCs/>
          <w:sz w:val="19"/>
          <w:szCs w:val="19"/>
          <w:u w:val="single"/>
        </w:rPr>
        <w:t xml:space="preserve">A CONTRATADA deverá possuir </w:t>
      </w:r>
      <w:r>
        <w:rPr>
          <w:rFonts w:hint="default" w:ascii="Arial" w:hAnsi="Arial" w:cs="Arial"/>
          <w:b/>
          <w:bCs/>
          <w:sz w:val="19"/>
          <w:szCs w:val="19"/>
          <w:u w:val="single"/>
          <w:lang w:val="pt-BR"/>
        </w:rPr>
        <w:t>REGISTRO NO CREA com documento comprobatório.</w:t>
      </w:r>
    </w:p>
    <w:p w14:paraId="67526F9F">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Times New Roman" w:cs="Arial"/>
          <w:sz w:val="19"/>
          <w:szCs w:val="19"/>
        </w:rPr>
      </w:pPr>
      <w:r>
        <w:rPr>
          <w:rFonts w:hint="default" w:ascii="Arial" w:hAnsi="Arial" w:cs="Arial"/>
          <w:b/>
          <w:bCs/>
          <w:sz w:val="19"/>
          <w:szCs w:val="19"/>
          <w:lang w:val="pt-BR"/>
        </w:rPr>
        <w:t xml:space="preserve">8.9.5.2.2 Apresentação de profissional, </w:t>
      </w:r>
      <w:r>
        <w:rPr>
          <w:rFonts w:hint="default" w:ascii="Arial" w:hAnsi="Arial" w:cs="Arial"/>
          <w:b/>
          <w:bCs/>
          <w:sz w:val="19"/>
          <w:szCs w:val="19"/>
          <w:u w:val="single"/>
          <w:lang w:val="pt-BR"/>
        </w:rPr>
        <w:t>e</w:t>
      </w:r>
      <w:r>
        <w:rPr>
          <w:rFonts w:hint="default" w:ascii="Arial" w:hAnsi="Arial" w:eastAsia="Times New Roman" w:cs="Arial"/>
          <w:b/>
          <w:bCs/>
          <w:sz w:val="19"/>
          <w:szCs w:val="19"/>
          <w:u w:val="single"/>
        </w:rPr>
        <w:t>ngenheiro técnico registrado junto ao CREA</w:t>
      </w:r>
      <w:r>
        <w:rPr>
          <w:rFonts w:hint="default" w:ascii="Arial" w:hAnsi="Arial" w:cs="Arial"/>
          <w:b/>
          <w:bCs/>
          <w:sz w:val="19"/>
          <w:szCs w:val="19"/>
          <w:u w:val="single"/>
          <w:lang w:val="pt-BR"/>
        </w:rPr>
        <w:t xml:space="preserve">  com documento comprobatório</w:t>
      </w:r>
      <w:r>
        <w:rPr>
          <w:rFonts w:hint="default" w:ascii="Arial" w:hAnsi="Arial" w:eastAsia="Times New Roman" w:cs="Arial"/>
          <w:sz w:val="19"/>
          <w:szCs w:val="19"/>
        </w:rPr>
        <w:t xml:space="preserve">, que assinará as ART’s (Anotação de Responsabilidade Técnica), considerando que o mesmo será o responsável técnico pela supervisão dos serviços, sendo para todos os efeitos legais relativos à parte técnica nomeada como Preposto Técnico da empresa CONTRATADA. </w:t>
      </w:r>
    </w:p>
    <w:p w14:paraId="1575AD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ascii="Arial" w:hAnsi="Arial" w:cs="Arial"/>
          <w:b w:val="0"/>
          <w:bCs w:val="0"/>
          <w:sz w:val="19"/>
          <w:szCs w:val="19"/>
          <w:lang w:val="pt-BR"/>
        </w:rPr>
      </w:pPr>
      <w:r>
        <w:rPr>
          <w:rFonts w:hint="default" w:ascii="Arial" w:hAnsi="Arial" w:cs="Arial"/>
          <w:b w:val="0"/>
          <w:bCs w:val="0"/>
          <w:sz w:val="19"/>
          <w:szCs w:val="19"/>
          <w:lang w:val="pt-BR"/>
        </w:rPr>
        <w:t>8.9.5.2.2.1 C</w:t>
      </w:r>
      <w:r>
        <w:rPr>
          <w:rFonts w:ascii="Arial" w:hAnsi="Arial" w:cs="Arial"/>
          <w:b w:val="0"/>
          <w:bCs w:val="0"/>
          <w:sz w:val="19"/>
          <w:szCs w:val="19"/>
          <w:lang w:val="pt-BR"/>
        </w:rPr>
        <w:t>omprovação do vínculo do responsável técnico com a empresa, o que poderá ser realizado por meio da apresentação de</w:t>
      </w:r>
      <w:r>
        <w:rPr>
          <w:rFonts w:hint="default" w:ascii="Arial" w:hAnsi="Arial" w:cs="Arial"/>
          <w:b w:val="0"/>
          <w:bCs w:val="0"/>
          <w:sz w:val="19"/>
          <w:szCs w:val="19"/>
          <w:lang w:val="pt-BR"/>
        </w:rPr>
        <w:t xml:space="preserve"> um ou mais itens abaixo</w:t>
      </w:r>
      <w:r>
        <w:rPr>
          <w:rFonts w:ascii="Arial" w:hAnsi="Arial" w:cs="Arial"/>
          <w:b w:val="0"/>
          <w:bCs w:val="0"/>
          <w:sz w:val="19"/>
          <w:szCs w:val="19"/>
          <w:lang w:val="pt-BR"/>
        </w:rPr>
        <w:t xml:space="preserve">: </w:t>
      </w:r>
    </w:p>
    <w:p w14:paraId="3D0CF784">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ascii="Arial" w:hAnsi="Arial" w:cs="Arial"/>
          <w:b w:val="0"/>
          <w:bCs w:val="0"/>
          <w:sz w:val="19"/>
          <w:szCs w:val="19"/>
          <w:lang w:val="pt-BR"/>
        </w:rPr>
      </w:pPr>
      <w:r>
        <w:rPr>
          <w:rFonts w:ascii="Arial" w:hAnsi="Arial" w:cs="Arial"/>
          <w:b/>
          <w:bCs/>
          <w:sz w:val="19"/>
          <w:szCs w:val="19"/>
          <w:lang w:val="pt-BR"/>
        </w:rPr>
        <w:t xml:space="preserve">a) </w:t>
      </w:r>
      <w:r>
        <w:rPr>
          <w:rFonts w:ascii="Arial" w:hAnsi="Arial" w:cs="Arial"/>
          <w:b w:val="0"/>
          <w:bCs w:val="0"/>
          <w:sz w:val="19"/>
          <w:szCs w:val="19"/>
          <w:lang w:val="pt-BR"/>
        </w:rPr>
        <w:t xml:space="preserve">Carteira de Trabalho e Previdência Social - CTPS, ou Cópia da folha do livro de Registro de Empregados, </w:t>
      </w:r>
      <w:r>
        <w:rPr>
          <w:rFonts w:ascii="Arial" w:hAnsi="Arial" w:cs="Arial"/>
          <w:b/>
          <w:bCs/>
          <w:sz w:val="19"/>
          <w:szCs w:val="19"/>
          <w:lang w:val="pt-BR"/>
        </w:rPr>
        <w:t>ou</w:t>
      </w:r>
    </w:p>
    <w:p w14:paraId="5F08C30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ascii="Arial" w:hAnsi="Arial" w:cs="Arial"/>
          <w:b w:val="0"/>
          <w:bCs w:val="0"/>
          <w:sz w:val="19"/>
          <w:szCs w:val="19"/>
          <w:lang w:val="pt-BR"/>
        </w:rPr>
      </w:pPr>
      <w:r>
        <w:rPr>
          <w:rFonts w:ascii="Arial" w:hAnsi="Arial" w:cs="Arial"/>
          <w:b/>
          <w:bCs/>
          <w:sz w:val="19"/>
          <w:szCs w:val="19"/>
          <w:lang w:val="pt-BR"/>
        </w:rPr>
        <w:t xml:space="preserve">b) </w:t>
      </w:r>
      <w:r>
        <w:rPr>
          <w:rFonts w:ascii="Arial" w:hAnsi="Arial" w:cs="Arial"/>
          <w:b w:val="0"/>
          <w:bCs w:val="0"/>
          <w:sz w:val="19"/>
          <w:szCs w:val="19"/>
          <w:lang w:val="pt-BR"/>
        </w:rPr>
        <w:t xml:space="preserve">Cópia do Contrato Social ou Ato Constitutivo em vigor, em caso de sócio ou diretor, ou Cópia  do Contrato de Prestação de Serviços, </w:t>
      </w:r>
      <w:r>
        <w:rPr>
          <w:rFonts w:ascii="Arial" w:hAnsi="Arial" w:cs="Arial"/>
          <w:b/>
          <w:bCs/>
          <w:sz w:val="19"/>
          <w:szCs w:val="19"/>
          <w:lang w:val="pt-BR"/>
        </w:rPr>
        <w:t>ou</w:t>
      </w:r>
    </w:p>
    <w:p w14:paraId="179B977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9"/>
          <w:szCs w:val="19"/>
          <w:lang w:val="pt-BR"/>
        </w:rPr>
      </w:pPr>
      <w:r>
        <w:rPr>
          <w:rFonts w:ascii="Arial" w:hAnsi="Arial" w:cs="Arial"/>
          <w:b/>
          <w:bCs/>
          <w:sz w:val="19"/>
          <w:szCs w:val="19"/>
          <w:lang w:val="pt-BR"/>
        </w:rPr>
        <w:t>c)</w:t>
      </w:r>
      <w:r>
        <w:rPr>
          <w:rFonts w:ascii="Arial" w:hAnsi="Arial" w:cs="Arial"/>
          <w:b w:val="0"/>
          <w:bCs w:val="0"/>
          <w:sz w:val="19"/>
          <w:szCs w:val="19"/>
          <w:lang w:val="pt-BR"/>
        </w:rPr>
        <w:t xml:space="preserve"> Declaração emitida pelo Prestador de Serviços de que concorda com a indicação e possui disponibilidade para exercer a função de responsável técnico dos serviços, caso a empresa seja vencedora</w:t>
      </w:r>
      <w:r>
        <w:rPr>
          <w:rFonts w:hint="default" w:ascii="Arial" w:hAnsi="Arial" w:cs="Arial"/>
          <w:b w:val="0"/>
          <w:bCs w:val="0"/>
          <w:sz w:val="19"/>
          <w:szCs w:val="19"/>
          <w:lang w:val="pt-BR"/>
        </w:rPr>
        <w:t xml:space="preserve">, </w:t>
      </w:r>
      <w:r>
        <w:rPr>
          <w:rFonts w:hint="default" w:ascii="Arial" w:hAnsi="Arial" w:cs="Arial"/>
          <w:b/>
          <w:bCs/>
          <w:sz w:val="19"/>
          <w:szCs w:val="19"/>
          <w:lang w:val="pt-BR"/>
        </w:rPr>
        <w:t>ou</w:t>
      </w:r>
    </w:p>
    <w:p w14:paraId="6F72B95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9"/>
          <w:szCs w:val="19"/>
          <w:lang w:val="pt-BR"/>
        </w:rPr>
      </w:pPr>
      <w:r>
        <w:rPr>
          <w:rFonts w:hint="default" w:ascii="Arial" w:hAnsi="Arial" w:cs="Arial"/>
          <w:b/>
          <w:bCs/>
          <w:sz w:val="19"/>
          <w:szCs w:val="19"/>
          <w:lang w:val="pt-BR"/>
        </w:rPr>
        <w:t>d)</w:t>
      </w:r>
      <w:r>
        <w:rPr>
          <w:rFonts w:hint="default" w:ascii="Arial" w:hAnsi="Arial" w:cs="Arial"/>
          <w:b w:val="0"/>
          <w:bCs w:val="0"/>
          <w:sz w:val="19"/>
          <w:szCs w:val="19"/>
          <w:lang w:val="pt-BR"/>
        </w:rPr>
        <w:t xml:space="preserve"> Declação de contratação futura que comprove a disponibilidade do responsável técnico.</w:t>
      </w:r>
    </w:p>
    <w:p w14:paraId="0F34F1C1">
      <w:pPr>
        <w:tabs>
          <w:tab w:val="left" w:pos="993"/>
        </w:tabs>
        <w:spacing w:line="360" w:lineRule="auto"/>
        <w:jc w:val="both"/>
        <w:rPr>
          <w:rFonts w:hint="default" w:ascii="Arial" w:hAnsi="Arial" w:cs="Arial"/>
          <w:b/>
          <w:bCs/>
          <w:sz w:val="19"/>
          <w:szCs w:val="19"/>
        </w:rPr>
      </w:pPr>
    </w:p>
    <w:p w14:paraId="0E7933ED">
      <w:pPr>
        <w:pBdr>
          <w:top w:val="single" w:color="auto" w:sz="4" w:space="0"/>
          <w:left w:val="single" w:color="auto" w:sz="4" w:space="0"/>
          <w:bottom w:val="single" w:color="auto" w:sz="4" w:space="0"/>
          <w:right w:val="single" w:color="auto" w:sz="4" w:space="0"/>
        </w:pBdr>
        <w:tabs>
          <w:tab w:val="left" w:pos="993"/>
        </w:tabs>
        <w:spacing w:line="360" w:lineRule="auto"/>
        <w:jc w:val="both"/>
        <w:rPr>
          <w:rFonts w:hint="default" w:ascii="Arial" w:hAnsi="Arial" w:cs="Arial"/>
          <w:sz w:val="19"/>
          <w:szCs w:val="19"/>
        </w:rPr>
      </w:pPr>
      <w:r>
        <w:rPr>
          <w:rFonts w:hint="default" w:ascii="Arial" w:hAnsi="Arial" w:cs="Arial"/>
          <w:b/>
          <w:bCs/>
          <w:sz w:val="19"/>
          <w:szCs w:val="19"/>
        </w:rPr>
        <w:t>8.9.6 Qualificação Econômico-Financeira: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9"/>
          <w:szCs w:val="19"/>
        </w:rPr>
      </w:pPr>
      <w:r>
        <w:rPr>
          <w:rFonts w:hint="default" w:ascii="Arial" w:hAnsi="Arial" w:cs="Arial"/>
          <w:color w:val="000000"/>
          <w:sz w:val="19"/>
          <w:szCs w:val="19"/>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9"/>
          <w:szCs w:val="19"/>
          <w:lang w:val="pt-BR"/>
        </w:rPr>
      </w:pPr>
      <w:r>
        <w:rPr>
          <w:rFonts w:hint="default" w:ascii="Arial" w:hAnsi="Arial" w:cs="Arial"/>
          <w:sz w:val="19"/>
          <w:szCs w:val="19"/>
          <w:lang w:val="pt-BR"/>
        </w:rPr>
        <w:t xml:space="preserve">8.9.6.2 </w:t>
      </w:r>
      <w:r>
        <w:rPr>
          <w:rFonts w:hint="default" w:ascii="Arial" w:hAnsi="Arial" w:cs="Arial"/>
          <w:color w:val="101010"/>
          <w:sz w:val="19"/>
          <w:szCs w:val="19"/>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9"/>
          <w:szCs w:val="19"/>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9"/>
          <w:szCs w:val="19"/>
        </w:rPr>
      </w:pPr>
      <w:r>
        <w:rPr>
          <w:rFonts w:hint="default" w:ascii="Arial" w:hAnsi="Arial" w:cs="Arial"/>
          <w:color w:val="101010"/>
          <w:sz w:val="19"/>
          <w:szCs w:val="19"/>
          <w:lang w:val="pt-BR"/>
        </w:rPr>
        <w:t xml:space="preserve">8.9.6.2.1 </w:t>
      </w:r>
      <w:r>
        <w:rPr>
          <w:rFonts w:hint="default" w:ascii="Arial" w:hAnsi="Arial" w:cs="Arial"/>
          <w:color w:val="101010"/>
          <w:sz w:val="19"/>
          <w:szCs w:val="19"/>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4"/>
          <w:sz w:val="19"/>
          <w:szCs w:val="19"/>
        </w:rPr>
        <w:t xml:space="preserve"> </w:t>
      </w:r>
      <w:r>
        <w:rPr>
          <w:rFonts w:hint="default" w:ascii="Arial" w:hAnsi="Arial" w:cs="Arial"/>
          <w:color w:val="101010"/>
          <w:sz w:val="19"/>
          <w:szCs w:val="19"/>
        </w:rPr>
        <w:t>em</w:t>
      </w:r>
      <w:r>
        <w:rPr>
          <w:rFonts w:hint="default" w:ascii="Arial" w:hAnsi="Arial" w:cs="Arial"/>
          <w:color w:val="101010"/>
          <w:spacing w:val="-5"/>
          <w:sz w:val="19"/>
          <w:szCs w:val="19"/>
        </w:rPr>
        <w:t xml:space="preserve"> </w:t>
      </w:r>
      <w:r>
        <w:rPr>
          <w:rFonts w:hint="default" w:ascii="Arial" w:hAnsi="Arial" w:cs="Arial"/>
          <w:color w:val="101010"/>
          <w:sz w:val="19"/>
          <w:szCs w:val="19"/>
        </w:rPr>
        <w:t>Diário</w:t>
      </w:r>
      <w:r>
        <w:rPr>
          <w:rFonts w:hint="default" w:ascii="Arial" w:hAnsi="Arial" w:cs="Arial"/>
          <w:color w:val="101010"/>
          <w:spacing w:val="-5"/>
          <w:sz w:val="19"/>
          <w:szCs w:val="19"/>
        </w:rPr>
        <w:t xml:space="preserve"> </w:t>
      </w:r>
      <w:r>
        <w:rPr>
          <w:rFonts w:hint="default" w:ascii="Arial" w:hAnsi="Arial" w:cs="Arial"/>
          <w:color w:val="101010"/>
          <w:sz w:val="19"/>
          <w:szCs w:val="19"/>
        </w:rPr>
        <w:t>Oficial;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5B1A6E24">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7"/>
          <w:sz w:val="19"/>
          <w:szCs w:val="19"/>
        </w:rPr>
        <w:t xml:space="preserve"> </w:t>
      </w:r>
      <w:r>
        <w:rPr>
          <w:rFonts w:hint="default" w:ascii="Arial" w:hAnsi="Arial" w:cs="Arial"/>
          <w:color w:val="101010"/>
          <w:sz w:val="19"/>
          <w:szCs w:val="19"/>
        </w:rPr>
        <w:t>em</w:t>
      </w:r>
      <w:r>
        <w:rPr>
          <w:rFonts w:hint="default" w:ascii="Arial" w:hAnsi="Arial" w:cs="Arial"/>
          <w:color w:val="101010"/>
          <w:spacing w:val="-6"/>
          <w:sz w:val="19"/>
          <w:szCs w:val="19"/>
        </w:rPr>
        <w:t xml:space="preserve"> </w:t>
      </w:r>
      <w:r>
        <w:rPr>
          <w:rFonts w:hint="default" w:ascii="Arial" w:hAnsi="Arial" w:cs="Arial"/>
          <w:color w:val="101010"/>
          <w:sz w:val="19"/>
          <w:szCs w:val="19"/>
        </w:rPr>
        <w:t>Jornal;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0ED975A9">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 xml:space="preserve">por cópia ou fotocópia registrada ou autenticada na Junta Comercial da sede ou domicílio da proponente; </w:t>
      </w:r>
      <w:r>
        <w:rPr>
          <w:rFonts w:hint="default" w:ascii="Arial" w:hAnsi="Arial" w:cs="Arial"/>
          <w:color w:val="101010"/>
          <w:spacing w:val="-6"/>
          <w:sz w:val="19"/>
          <w:szCs w:val="19"/>
        </w:rPr>
        <w:t>ou</w:t>
      </w:r>
    </w:p>
    <w:p w14:paraId="52C65921">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9"/>
          <w:szCs w:val="19"/>
        </w:rPr>
      </w:pPr>
      <w:r>
        <w:rPr>
          <w:rFonts w:hint="default" w:ascii="Arial" w:hAnsi="Arial" w:cs="Arial"/>
          <w:color w:val="101010"/>
          <w:sz w:val="19"/>
          <w:szCs w:val="19"/>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9"/>
          <w:szCs w:val="19"/>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r>
        <w:rPr>
          <w:rFonts w:hint="default" w:ascii="Arial" w:hAnsi="Arial" w:cs="Arial"/>
          <w:color w:val="101010"/>
          <w:sz w:val="19"/>
          <w:szCs w:val="19"/>
          <w:lang w:val="pt-BR"/>
        </w:rPr>
        <w:t xml:space="preserve">8.9.6.2.2. </w:t>
      </w:r>
      <w:r>
        <w:rPr>
          <w:rFonts w:hint="default" w:ascii="Arial" w:hAnsi="Arial" w:cs="Arial"/>
          <w:color w:val="101010"/>
          <w:sz w:val="19"/>
          <w:szCs w:val="19"/>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9"/>
          <w:szCs w:val="19"/>
        </w:rPr>
        <w:t xml:space="preserve"> </w:t>
      </w:r>
      <w:r>
        <w:rPr>
          <w:rFonts w:hint="default" w:ascii="Arial" w:hAnsi="Arial" w:cs="Arial"/>
          <w:color w:val="101010"/>
          <w:sz w:val="19"/>
          <w:szCs w:val="19"/>
        </w:rPr>
        <w:t>devidamente autenticado na Junta Comercial da sede ou domicílio da licitante ou em outro órgão</w:t>
      </w:r>
      <w:r>
        <w:rPr>
          <w:rFonts w:hint="default" w:ascii="Arial" w:hAnsi="Arial" w:cs="Arial"/>
          <w:color w:val="101010"/>
          <w:spacing w:val="80"/>
          <w:sz w:val="19"/>
          <w:szCs w:val="19"/>
        </w:rPr>
        <w:t xml:space="preserve"> </w:t>
      </w:r>
      <w:r>
        <w:rPr>
          <w:rFonts w:hint="default" w:ascii="Arial" w:hAnsi="Arial" w:cs="Arial"/>
          <w:color w:val="101010"/>
          <w:spacing w:val="-2"/>
          <w:sz w:val="19"/>
          <w:szCs w:val="19"/>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b/>
          <w:color w:val="101010"/>
          <w:sz w:val="19"/>
          <w:szCs w:val="19"/>
        </w:rPr>
      </w:pPr>
      <w:r>
        <w:rPr>
          <w:rFonts w:hint="default" w:ascii="Arial" w:hAnsi="Arial" w:cs="Arial"/>
          <w:color w:val="101010"/>
          <w:spacing w:val="-2"/>
          <w:sz w:val="19"/>
          <w:szCs w:val="19"/>
          <w:lang w:val="pt-BR"/>
        </w:rPr>
        <w:t xml:space="preserve">8.9.6.2.3 </w:t>
      </w:r>
      <w:r>
        <w:rPr>
          <w:rFonts w:hint="default" w:ascii="Arial" w:hAnsi="Arial" w:cs="Arial"/>
          <w:color w:val="101010"/>
          <w:sz w:val="19"/>
          <w:szCs w:val="19"/>
        </w:rPr>
        <w:t>Quando se tratar de sociedade constituída há menos de dois anos, os documentos referidos limitar– se–ão ao último exercício.</w:t>
      </w:r>
    </w:p>
    <w:p w14:paraId="58323B98">
      <w:pPr>
        <w:pStyle w:val="221"/>
        <w:numPr>
          <w:ilvl w:val="0"/>
          <w:numId w:val="0"/>
        </w:numPr>
        <w:suppressAutoHyphens/>
        <w:spacing w:before="0" w:after="0" w:line="240" w:lineRule="auto"/>
        <w:ind w:right="0" w:rightChars="0"/>
        <w:contextualSpacing/>
        <w:jc w:val="both"/>
        <w:rPr>
          <w:rFonts w:hint="default" w:ascii="Arial" w:hAnsi="Arial" w:cs="Arial"/>
          <w:color w:val="101010"/>
          <w:sz w:val="19"/>
          <w:szCs w:val="19"/>
        </w:rPr>
      </w:pPr>
    </w:p>
    <w:p w14:paraId="48DC9CAA">
      <w:pPr>
        <w:pStyle w:val="305"/>
        <w:tabs>
          <w:tab w:val="left" w:pos="993"/>
        </w:tabs>
        <w:spacing w:before="0" w:after="0" w:line="360" w:lineRule="auto"/>
        <w:ind w:left="0"/>
        <w:rPr>
          <w:rFonts w:hint="default" w:ascii="Arial" w:hAnsi="Arial" w:cs="Arial"/>
          <w:sz w:val="19"/>
          <w:szCs w:val="19"/>
        </w:rPr>
      </w:pPr>
      <w:r>
        <w:rPr>
          <w:rFonts w:hint="default" w:ascii="Arial" w:hAnsi="Arial" w:cs="Arial"/>
          <w:sz w:val="19"/>
          <w:szCs w:val="19"/>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IN nº 3/2018, art. 4º, §1º, e art. 6º, §4º</w:t>
      </w:r>
      <w:r>
        <w:rPr>
          <w:rStyle w:val="325"/>
          <w:rFonts w:hint="default" w:ascii="Arial" w:hAnsi="Arial" w:cs="Arial"/>
          <w:sz w:val="19"/>
          <w:szCs w:val="19"/>
        </w:rPr>
        <w:fldChar w:fldCharType="end"/>
      </w:r>
      <w:r>
        <w:rPr>
          <w:rFonts w:hint="default" w:ascii="Arial" w:hAnsi="Arial" w:cs="Arial"/>
          <w:sz w:val="19"/>
          <w:szCs w:val="19"/>
        </w:rPr>
        <w:t>).</w:t>
      </w:r>
    </w:p>
    <w:p w14:paraId="71B02983">
      <w:pPr>
        <w:pStyle w:val="305"/>
        <w:tabs>
          <w:tab w:val="left" w:pos="993"/>
        </w:tabs>
        <w:spacing w:before="0" w:after="0" w:line="240" w:lineRule="auto"/>
        <w:ind w:left="0"/>
        <w:rPr>
          <w:rFonts w:hint="default" w:ascii="Arial" w:hAnsi="Arial" w:cs="Arial"/>
          <w:sz w:val="19"/>
          <w:szCs w:val="19"/>
        </w:rPr>
      </w:pPr>
    </w:p>
    <w:p w14:paraId="72558A05">
      <w:pPr>
        <w:pStyle w:val="221"/>
        <w:tabs>
          <w:tab w:val="left" w:pos="993"/>
        </w:tabs>
        <w:spacing w:line="360" w:lineRule="auto"/>
        <w:ind w:left="0"/>
        <w:jc w:val="both"/>
        <w:rPr>
          <w:rFonts w:hint="default" w:ascii="Arial" w:hAnsi="Arial" w:eastAsia="Calibri" w:cs="Arial"/>
          <w:sz w:val="19"/>
          <w:szCs w:val="19"/>
        </w:rPr>
      </w:pPr>
      <w:r>
        <w:rPr>
          <w:rFonts w:hint="default" w:ascii="Arial" w:hAnsi="Arial" w:eastAsia="Arial" w:cs="Arial"/>
          <w:b/>
          <w:sz w:val="19"/>
          <w:szCs w:val="19"/>
        </w:rPr>
        <w:t>8.9.8 Documentação Complementar:</w:t>
      </w:r>
    </w:p>
    <w:p w14:paraId="73ADAF08">
      <w:pPr>
        <w:tabs>
          <w:tab w:val="left" w:pos="993"/>
        </w:tabs>
        <w:spacing w:line="360" w:lineRule="auto"/>
        <w:jc w:val="both"/>
        <w:rPr>
          <w:rFonts w:hint="default" w:ascii="Arial" w:hAnsi="Arial" w:eastAsia="Calibri" w:cs="Arial"/>
          <w:sz w:val="19"/>
          <w:szCs w:val="19"/>
        </w:rPr>
      </w:pPr>
      <w:r>
        <w:rPr>
          <w:rFonts w:hint="default" w:ascii="Arial" w:hAnsi="Arial" w:eastAsia="Arial" w:cs="Arial"/>
          <w:sz w:val="19"/>
          <w:szCs w:val="19"/>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9"/>
          <w:szCs w:val="19"/>
        </w:rPr>
        <w:t>(conforme modelo anexo IV)</w:t>
      </w:r>
    </w:p>
    <w:p w14:paraId="7FD8D5E5">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9"/>
          <w:szCs w:val="19"/>
        </w:rPr>
        <w:t>(conforme modelo anexo V)</w:t>
      </w:r>
    </w:p>
    <w:p w14:paraId="6AE76E50">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9"/>
          <w:szCs w:val="19"/>
        </w:rPr>
        <w:t>conforme modelo anexo VI)</w:t>
      </w:r>
    </w:p>
    <w:p w14:paraId="65FC4FD4">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9"/>
          <w:szCs w:val="19"/>
        </w:rPr>
        <w:t>(conforme modelo anexo VII)</w:t>
      </w:r>
    </w:p>
    <w:p w14:paraId="19453A91">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8.9.8.1.5 </w:t>
      </w:r>
      <w:r>
        <w:rPr>
          <w:rFonts w:hint="default" w:ascii="Arial" w:hAnsi="Arial" w:cs="Arial"/>
          <w:sz w:val="19"/>
          <w:szCs w:val="19"/>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9"/>
          <w:szCs w:val="19"/>
        </w:rPr>
        <w:t>(</w:t>
      </w:r>
      <w:r>
        <w:rPr>
          <w:rFonts w:hint="default" w:ascii="Arial" w:hAnsi="Arial" w:eastAsia="Arial" w:cs="Arial"/>
          <w:b/>
          <w:sz w:val="19"/>
          <w:szCs w:val="19"/>
        </w:rPr>
        <w:t>conforme modelo anexo VIII)</w:t>
      </w:r>
    </w:p>
    <w:p w14:paraId="00A07856">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8.9.8.1.6 </w:t>
      </w:r>
      <w:r>
        <w:rPr>
          <w:rFonts w:hint="default" w:ascii="Arial" w:hAnsi="Arial" w:cs="Arial"/>
          <w:sz w:val="19"/>
          <w:szCs w:val="19"/>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9"/>
          <w:szCs w:val="19"/>
        </w:rPr>
        <w:t>(</w:t>
      </w:r>
      <w:r>
        <w:rPr>
          <w:rFonts w:hint="default" w:ascii="Arial" w:hAnsi="Arial" w:eastAsia="Arial" w:cs="Arial"/>
          <w:b/>
          <w:sz w:val="19"/>
          <w:szCs w:val="19"/>
        </w:rPr>
        <w:t>conforme modelo anexo IX)</w:t>
      </w:r>
    </w:p>
    <w:p w14:paraId="432DECE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8.9.8.1.7 Declaração de que não há sanções vigentes que legalmente proíbam a participante de licitar e/ou contratar com o contratante. </w:t>
      </w:r>
      <w:r>
        <w:rPr>
          <w:rFonts w:hint="default" w:ascii="Arial" w:hAnsi="Arial" w:eastAsia="Arial" w:cs="Arial"/>
          <w:b/>
          <w:sz w:val="19"/>
          <w:szCs w:val="19"/>
        </w:rPr>
        <w:t>(conforme modelo anexo X)</w:t>
      </w:r>
    </w:p>
    <w:p w14:paraId="0537C9C9">
      <w:pPr>
        <w:pStyle w:val="221"/>
        <w:spacing w:line="360" w:lineRule="auto"/>
        <w:ind w:left="0"/>
        <w:jc w:val="both"/>
        <w:rPr>
          <w:rFonts w:hint="default" w:ascii="Arial" w:hAnsi="Arial" w:eastAsia="Arial" w:cs="Arial"/>
          <w:b/>
          <w:sz w:val="19"/>
          <w:szCs w:val="19"/>
          <w:lang w:val="pt-BR"/>
        </w:rPr>
      </w:pPr>
      <w:r>
        <w:rPr>
          <w:rFonts w:hint="default" w:ascii="Arial" w:hAnsi="Arial" w:eastAsia="Arial" w:cs="Arial"/>
          <w:sz w:val="19"/>
          <w:szCs w:val="19"/>
        </w:rPr>
        <w:t>8.9.8.1.</w:t>
      </w:r>
      <w:r>
        <w:rPr>
          <w:rFonts w:hint="default" w:ascii="Arial" w:hAnsi="Arial" w:eastAsia="Arial" w:cs="Arial"/>
          <w:sz w:val="19"/>
          <w:szCs w:val="19"/>
          <w:lang w:val="pt-BR"/>
        </w:rPr>
        <w:t>8</w:t>
      </w:r>
      <w:r>
        <w:rPr>
          <w:rFonts w:hint="default" w:ascii="Arial" w:hAnsi="Arial" w:eastAsia="Arial" w:cs="Arial"/>
          <w:sz w:val="19"/>
          <w:szCs w:val="19"/>
        </w:rPr>
        <w:t xml:space="preserve"> Declaração de que</w:t>
      </w:r>
      <w:r>
        <w:rPr>
          <w:rFonts w:hint="default" w:ascii="Arial" w:hAnsi="Arial" w:eastAsia="Arial" w:cs="Arial"/>
          <w:sz w:val="19"/>
          <w:szCs w:val="19"/>
          <w:lang w:val="pt-BR"/>
        </w:rPr>
        <w:t xml:space="preserve"> </w:t>
      </w: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r>
        <w:rPr>
          <w:rFonts w:hint="default" w:ascii="Arial" w:hAnsi="Arial" w:cs="Arial"/>
          <w:sz w:val="19"/>
          <w:szCs w:val="19"/>
          <w:lang w:val="pt-BR"/>
        </w:rPr>
        <w:t xml:space="preserve"> </w:t>
      </w:r>
      <w:r>
        <w:rPr>
          <w:rFonts w:hint="default" w:ascii="Arial" w:hAnsi="Arial" w:eastAsia="Arial" w:cs="Arial"/>
          <w:b/>
          <w:sz w:val="19"/>
          <w:szCs w:val="19"/>
        </w:rPr>
        <w:t>(conforme modelo anexo X</w:t>
      </w:r>
      <w:r>
        <w:rPr>
          <w:rFonts w:hint="default" w:ascii="Arial" w:hAnsi="Arial" w:eastAsia="Arial" w:cs="Arial"/>
          <w:b/>
          <w:sz w:val="19"/>
          <w:szCs w:val="19"/>
          <w:lang w:val="pt-BR"/>
        </w:rPr>
        <w:t>I</w:t>
      </w:r>
      <w:r>
        <w:rPr>
          <w:rFonts w:hint="default" w:ascii="Arial" w:hAnsi="Arial" w:eastAsia="Arial" w:cs="Arial"/>
          <w:b/>
          <w:sz w:val="19"/>
          <w:szCs w:val="19"/>
        </w:rPr>
        <w:t>)</w:t>
      </w:r>
    </w:p>
    <w:p w14:paraId="24EC4E31">
      <w:pPr>
        <w:pStyle w:val="221"/>
        <w:ind w:left="0"/>
        <w:jc w:val="both"/>
        <w:rPr>
          <w:rFonts w:hint="default" w:ascii="Arial" w:hAnsi="Arial" w:eastAsia="Arial" w:cs="Arial"/>
          <w:b/>
          <w:sz w:val="19"/>
          <w:szCs w:val="19"/>
        </w:rPr>
      </w:pPr>
    </w:p>
    <w:p w14:paraId="5A7752A3">
      <w:pPr>
        <w:pStyle w:val="304"/>
        <w:numPr>
          <w:ilvl w:val="1"/>
          <w:numId w:val="10"/>
        </w:numPr>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7º,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10"/>
        </w:numPr>
        <w:spacing w:before="0" w:after="0" w:line="360" w:lineRule="auto"/>
        <w:ind w:left="0" w:firstLine="0"/>
        <w:rPr>
          <w:rFonts w:hint="default" w:ascii="Arial" w:hAnsi="Arial" w:cs="Arial"/>
          <w:i/>
          <w:iCs/>
          <w:sz w:val="19"/>
          <w:szCs w:val="19"/>
        </w:rPr>
      </w:pPr>
      <w:r>
        <w:rPr>
          <w:rFonts w:hint="default" w:ascii="Arial" w:hAnsi="Arial" w:cs="Arial"/>
          <w:sz w:val="19"/>
          <w:szCs w:val="19"/>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9"/>
          <w:szCs w:val="19"/>
        </w:rPr>
      </w:pPr>
      <w:bookmarkStart w:id="20" w:name="_Ref114663151"/>
      <w:bookmarkEnd w:id="20"/>
      <w:r>
        <w:rPr>
          <w:rFonts w:hint="default" w:ascii="Arial" w:hAnsi="Arial" w:cs="Arial"/>
          <w:b/>
          <w:sz w:val="19"/>
          <w:szCs w:val="19"/>
          <w:highlight w:val="yellow"/>
          <w:lang w:val="pt-BR"/>
        </w:rPr>
        <w:t xml:space="preserve">8.12 </w:t>
      </w:r>
      <w:r>
        <w:rPr>
          <w:rFonts w:hint="default" w:ascii="Arial" w:hAnsi="Arial" w:cs="Arial"/>
          <w:b/>
          <w:sz w:val="19"/>
          <w:szCs w:val="19"/>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9"/>
          <w:szCs w:val="19"/>
          <w:highlight w:val="yellow"/>
          <w:lang w:val="pt-BR"/>
        </w:rPr>
        <w:t xml:space="preserve"> desde que solicitado pelo licitante dentro do prazo determinado e concedido pelo</w:t>
      </w:r>
      <w:r>
        <w:rPr>
          <w:rFonts w:hint="default" w:ascii="Arial" w:hAnsi="Arial" w:cs="Arial"/>
          <w:b/>
          <w:sz w:val="19"/>
          <w:szCs w:val="19"/>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9"/>
          <w:szCs w:val="19"/>
        </w:rPr>
      </w:pPr>
      <w:r>
        <w:rPr>
          <w:rFonts w:hint="default" w:ascii="Arial" w:hAnsi="Arial" w:cs="Arial"/>
          <w:sz w:val="19"/>
          <w:szCs w:val="19"/>
          <w:lang w:val="pt-BR"/>
        </w:rPr>
        <w:t xml:space="preserve">8.13 </w:t>
      </w:r>
      <w:r>
        <w:rPr>
          <w:rFonts w:hint="default" w:ascii="Arial" w:hAnsi="Arial" w:cs="Arial"/>
          <w:sz w:val="19"/>
          <w:szCs w:val="19"/>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"https://www.gov.br/compras/pt-br/acesso-a-informacao/legislacao/instrucoes-normativas/instrucao-normativa-seges-me-no-73-de-30-de-setembro-de-2022" </w:instrText>
      </w:r>
      <w:r>
        <w:rPr>
          <w:rFonts w:hint="default" w:ascii="Arial" w:hAnsi="Arial" w:cs="Arial"/>
          <w:sz w:val="19"/>
          <w:szCs w:val="19"/>
        </w:rPr>
        <w:fldChar w:fldCharType="separate"/>
      </w:r>
      <w:r>
        <w:rPr>
          <w:rStyle w:val="325"/>
          <w:rFonts w:hint="default" w:ascii="Arial" w:hAnsi="Arial" w:cs="Arial"/>
          <w:sz w:val="19"/>
          <w:szCs w:val="19"/>
        </w:rPr>
        <w:t xml:space="preserve">§ 1º do art. 36 e no § 1º do art. 39 da </w:t>
      </w:r>
      <w:r>
        <w:rPr>
          <w:rStyle w:val="325"/>
          <w:rFonts w:hint="default" w:ascii="Arial" w:hAnsi="Arial" w:cs="Arial"/>
          <w:i/>
          <w:iCs/>
          <w:sz w:val="19"/>
          <w:szCs w:val="19"/>
        </w:rPr>
        <w:t>Instrução Normativa SEGES nº 73, de 30 de setembro de 2022</w:t>
      </w:r>
      <w:r>
        <w:rPr>
          <w:rStyle w:val="325"/>
          <w:rFonts w:hint="default" w:ascii="Arial" w:hAnsi="Arial" w:cs="Arial"/>
          <w:sz w:val="19"/>
          <w:szCs w:val="19"/>
        </w:rPr>
        <w:t>.</w:t>
      </w:r>
      <w:r>
        <w:rPr>
          <w:rStyle w:val="325"/>
          <w:rFonts w:hint="default" w:ascii="Arial" w:hAnsi="Arial" w:cs="Arial"/>
          <w:sz w:val="19"/>
          <w:szCs w:val="19"/>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8.14 </w:t>
      </w:r>
      <w:r>
        <w:rPr>
          <w:rFonts w:hint="default" w:ascii="Arial" w:hAnsi="Arial" w:cs="Arial"/>
          <w:sz w:val="19"/>
          <w:szCs w:val="19"/>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8.15 </w:t>
      </w:r>
      <w:r>
        <w:rPr>
          <w:rFonts w:hint="default" w:ascii="Arial" w:hAnsi="Arial" w:cs="Arial"/>
          <w:sz w:val="19"/>
          <w:szCs w:val="19"/>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8.16 </w:t>
      </w:r>
      <w:r>
        <w:rPr>
          <w:rFonts w:hint="default" w:ascii="Arial" w:hAnsi="Arial" w:cs="Arial"/>
          <w:sz w:val="19"/>
          <w:szCs w:val="19"/>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9"/>
          <w:szCs w:val="19"/>
        </w:rPr>
      </w:pPr>
      <w:r>
        <w:rPr>
          <w:rFonts w:hint="default" w:ascii="Arial" w:hAnsi="Arial" w:cs="Arial"/>
          <w:b/>
          <w:bCs/>
          <w:sz w:val="19"/>
          <w:szCs w:val="19"/>
          <w:lang w:val="pt-BR"/>
        </w:rPr>
        <w:t xml:space="preserve">8.17 </w:t>
      </w:r>
      <w:r>
        <w:rPr>
          <w:rFonts w:hint="default" w:ascii="Arial" w:hAnsi="Arial" w:cs="Arial"/>
          <w:b/>
          <w:bCs/>
          <w:sz w:val="19"/>
          <w:szCs w:val="19"/>
        </w:rPr>
        <w:t>Após a entrega dos documentos para habilitação, não será permitida a substituição ou a apresentação de novos documentos, salvo em sede de diligência, para (</w:t>
      </w:r>
      <w:r>
        <w:rPr>
          <w:rFonts w:hint="default" w:ascii="Arial" w:hAnsi="Arial" w:cs="Arial"/>
          <w:b/>
          <w:bCs/>
          <w:sz w:val="19"/>
          <w:szCs w:val="19"/>
        </w:rPr>
        <w:fldChar w:fldCharType="begin"/>
      </w:r>
      <w:r>
        <w:rPr>
          <w:rFonts w:hint="default" w:ascii="Arial" w:hAnsi="Arial" w:cs="Arial"/>
          <w:b/>
          <w:bCs/>
          <w:sz w:val="19"/>
          <w:szCs w:val="19"/>
        </w:rPr>
        <w:instrText xml:space="preserve"> HYPERLINK "file:///C:\\Users\\User\\Downloads\\Pregao_Eletronico_91_2023_Edital_91_2023.DOC" \l "art64" </w:instrText>
      </w:r>
      <w:r>
        <w:rPr>
          <w:rFonts w:hint="default" w:ascii="Arial" w:hAnsi="Arial" w:cs="Arial"/>
          <w:b/>
          <w:bCs/>
          <w:sz w:val="19"/>
          <w:szCs w:val="19"/>
        </w:rPr>
        <w:fldChar w:fldCharType="separate"/>
      </w:r>
      <w:r>
        <w:rPr>
          <w:rStyle w:val="325"/>
          <w:rFonts w:hint="default" w:ascii="Arial" w:hAnsi="Arial" w:cs="Arial"/>
          <w:b/>
          <w:bCs/>
          <w:sz w:val="19"/>
          <w:szCs w:val="19"/>
        </w:rPr>
        <w:t>Lei 14.133/21, art. 64</w:t>
      </w:r>
      <w:r>
        <w:rPr>
          <w:rStyle w:val="325"/>
          <w:rFonts w:hint="default" w:ascii="Arial" w:hAnsi="Arial" w:cs="Arial"/>
          <w:b/>
          <w:bCs/>
          <w:sz w:val="19"/>
          <w:szCs w:val="19"/>
        </w:rPr>
        <w:fldChar w:fldCharType="end"/>
      </w:r>
      <w:r>
        <w:rPr>
          <w:rFonts w:hint="default" w:ascii="Arial" w:hAnsi="Arial" w:cs="Arial"/>
          <w:b/>
          <w:bCs/>
          <w:sz w:val="19"/>
          <w:szCs w:val="19"/>
        </w:rPr>
        <w:t xml:space="preserve">, e </w:t>
      </w:r>
      <w:r>
        <w:rPr>
          <w:rFonts w:hint="default" w:ascii="Arial" w:hAnsi="Arial" w:cs="Arial"/>
          <w:b/>
          <w:bCs/>
          <w:sz w:val="19"/>
          <w:szCs w:val="19"/>
        </w:rPr>
        <w:fldChar w:fldCharType="begin"/>
      </w:r>
      <w:r>
        <w:rPr>
          <w:rFonts w:hint="default" w:ascii="Arial" w:hAnsi="Arial" w:cs="Arial"/>
          <w:b/>
          <w:bCs/>
          <w:sz w:val="19"/>
          <w:szCs w:val="19"/>
        </w:rPr>
        <w:instrText xml:space="preserve"> HYPERLINK "https://www.gov.br/compras/pt-br/acesso-a-informacao/legislacao/instrucoes-normativas/instrucao-normativa-seges-me-no-73-de-30-de-setembro-de-2022" </w:instrText>
      </w:r>
      <w:r>
        <w:rPr>
          <w:rFonts w:hint="default" w:ascii="Arial" w:hAnsi="Arial" w:cs="Arial"/>
          <w:b/>
          <w:bCs/>
          <w:sz w:val="19"/>
          <w:szCs w:val="19"/>
        </w:rPr>
        <w:fldChar w:fldCharType="separate"/>
      </w:r>
      <w:r>
        <w:rPr>
          <w:rStyle w:val="325"/>
          <w:rFonts w:hint="default" w:ascii="Arial" w:hAnsi="Arial" w:cs="Arial"/>
          <w:b/>
          <w:bCs/>
          <w:sz w:val="19"/>
          <w:szCs w:val="19"/>
        </w:rPr>
        <w:t>IN 73/2022, art. 39, §4º</w:t>
      </w:r>
      <w:r>
        <w:rPr>
          <w:rStyle w:val="325"/>
          <w:rFonts w:hint="default" w:ascii="Arial" w:hAnsi="Arial" w:cs="Arial"/>
          <w:b/>
          <w:bCs/>
          <w:sz w:val="19"/>
          <w:szCs w:val="19"/>
        </w:rPr>
        <w:fldChar w:fldCharType="end"/>
      </w:r>
      <w:r>
        <w:rPr>
          <w:rFonts w:hint="default" w:ascii="Arial" w:hAnsi="Arial" w:cs="Arial"/>
          <w:b/>
          <w:bCs/>
          <w:sz w:val="19"/>
          <w:szCs w:val="19"/>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8.17.1 </w:t>
      </w:r>
      <w:r>
        <w:rPr>
          <w:rFonts w:hint="default" w:ascii="Arial" w:hAnsi="Arial" w:cs="Arial"/>
          <w:b/>
          <w:bCs/>
          <w:sz w:val="19"/>
          <w:szCs w:val="19"/>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8.17.2 </w:t>
      </w:r>
      <w:r>
        <w:rPr>
          <w:rFonts w:hint="default" w:ascii="Arial" w:hAnsi="Arial" w:cs="Arial"/>
          <w:b/>
          <w:bCs/>
          <w:sz w:val="19"/>
          <w:szCs w:val="19"/>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9"/>
          <w:szCs w:val="19"/>
        </w:rPr>
      </w:pPr>
      <w:bookmarkStart w:id="21" w:name="_Ref114670319"/>
      <w:bookmarkEnd w:id="21"/>
      <w:r>
        <w:rPr>
          <w:rFonts w:hint="default" w:ascii="Arial" w:hAnsi="Arial" w:cs="Arial"/>
          <w:sz w:val="19"/>
          <w:szCs w:val="19"/>
          <w:lang w:val="pt-BR"/>
        </w:rPr>
        <w:t xml:space="preserve">8.18 </w:t>
      </w:r>
      <w:r>
        <w:rPr>
          <w:rFonts w:hint="default" w:ascii="Arial" w:hAnsi="Arial" w:cs="Arial"/>
          <w:sz w:val="19"/>
          <w:szCs w:val="19"/>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9"/>
          <w:szCs w:val="19"/>
        </w:rPr>
      </w:pPr>
      <w:bookmarkStart w:id="22" w:name="_Ref114665528"/>
      <w:bookmarkEnd w:id="22"/>
      <w:r>
        <w:rPr>
          <w:rFonts w:hint="default" w:ascii="Arial" w:hAnsi="Arial" w:cs="Arial"/>
          <w:sz w:val="19"/>
          <w:szCs w:val="19"/>
          <w:lang w:val="pt-BR"/>
        </w:rPr>
        <w:t xml:space="preserve">8.19 </w:t>
      </w:r>
      <w:r>
        <w:rPr>
          <w:rFonts w:hint="default" w:ascii="Arial" w:hAnsi="Arial" w:cs="Arial"/>
          <w:sz w:val="19"/>
          <w:szCs w:val="19"/>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9"/>
          <w:szCs w:val="19"/>
        </w:rPr>
      </w:pPr>
      <w:bookmarkStart w:id="23" w:name="_Ref114665515"/>
      <w:bookmarkEnd w:id="23"/>
      <w:r>
        <w:rPr>
          <w:rFonts w:hint="default" w:ascii="Arial" w:hAnsi="Arial" w:cs="Arial"/>
          <w:sz w:val="19"/>
          <w:szCs w:val="19"/>
          <w:lang w:val="pt-BR"/>
        </w:rPr>
        <w:t xml:space="preserve">8.20 </w:t>
      </w:r>
      <w:r>
        <w:rPr>
          <w:rFonts w:hint="default" w:ascii="Arial" w:hAnsi="Arial" w:cs="Arial"/>
          <w:sz w:val="19"/>
          <w:szCs w:val="19"/>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8.21 </w:t>
      </w:r>
      <w:r>
        <w:rPr>
          <w:rFonts w:hint="default" w:ascii="Arial" w:hAnsi="Arial" w:cs="Arial"/>
          <w:sz w:val="19"/>
          <w:szCs w:val="19"/>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art. 4º do Decreto nº 8.538/2015</w:t>
      </w:r>
      <w:r>
        <w:rPr>
          <w:rStyle w:val="325"/>
          <w:rFonts w:hint="default" w:ascii="Arial" w:hAnsi="Arial" w:cs="Arial"/>
          <w:sz w:val="19"/>
          <w:szCs w:val="19"/>
        </w:rPr>
        <w:fldChar w:fldCharType="end"/>
      </w:r>
      <w:r>
        <w:rPr>
          <w:rFonts w:hint="default" w:ascii="Arial" w:hAnsi="Arial" w:cs="Arial"/>
          <w:sz w:val="19"/>
          <w:szCs w:val="19"/>
        </w:rPr>
        <w:t>).</w:t>
      </w:r>
    </w:p>
    <w:p w14:paraId="5AE2FCA3">
      <w:pPr>
        <w:pStyle w:val="304"/>
        <w:numPr>
          <w:ilvl w:val="0"/>
          <w:numId w:val="0"/>
        </w:numPr>
        <w:tabs>
          <w:tab w:val="left" w:pos="993"/>
        </w:tabs>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8.22 </w:t>
      </w:r>
      <w:r>
        <w:rPr>
          <w:rFonts w:hint="default" w:ascii="Arial" w:hAnsi="Arial" w:cs="Arial"/>
          <w:sz w:val="19"/>
          <w:szCs w:val="19"/>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9"/>
          <w:szCs w:val="19"/>
          <w:u w:val="single"/>
          <w:lang w:val="pt-BR"/>
        </w:rPr>
      </w:pPr>
      <w:r>
        <w:rPr>
          <w:rFonts w:hint="default" w:cs="Arial"/>
          <w:sz w:val="19"/>
          <w:szCs w:val="19"/>
          <w:u w:val="single"/>
          <w:lang w:val="pt-BR"/>
        </w:rPr>
        <w:t xml:space="preserve">8.23 </w:t>
      </w:r>
      <w:r>
        <w:rPr>
          <w:rFonts w:hint="default"/>
          <w:sz w:val="19"/>
          <w:szCs w:val="19"/>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9"/>
          <w:szCs w:val="19"/>
          <w:lang w:val="pt-BR"/>
        </w:rPr>
      </w:pPr>
    </w:p>
    <w:p w14:paraId="14633AEB">
      <w:pPr>
        <w:pStyle w:val="279"/>
        <w:widowControl w:val="0"/>
        <w:numPr>
          <w:ilvl w:val="0"/>
          <w:numId w:val="12"/>
        </w:numPr>
        <w:tabs>
          <w:tab w:val="clear" w:pos="567"/>
        </w:tabs>
        <w:autoSpaceDN w:val="0"/>
        <w:spacing w:before="0" w:line="360" w:lineRule="auto"/>
        <w:ind w:left="426" w:hanging="426"/>
        <w:rPr>
          <w:rFonts w:hint="default" w:ascii="Arial" w:hAnsi="Arial" w:cs="Arial"/>
          <w:sz w:val="19"/>
          <w:szCs w:val="19"/>
        </w:rPr>
      </w:pPr>
      <w:bookmarkStart w:id="24" w:name="_Toc122606110"/>
      <w:bookmarkEnd w:id="24"/>
      <w:r>
        <w:rPr>
          <w:rFonts w:hint="default" w:ascii="Arial" w:hAnsi="Arial" w:cs="Arial"/>
          <w:sz w:val="19"/>
          <w:szCs w:val="19"/>
        </w:rPr>
        <w:t>DOS RECURSOS</w:t>
      </w:r>
    </w:p>
    <w:p w14:paraId="031417D5">
      <w:pPr>
        <w:pStyle w:val="304"/>
        <w:spacing w:before="0" w:after="0" w:line="360" w:lineRule="auto"/>
        <w:rPr>
          <w:rFonts w:hint="default" w:ascii="Arial" w:hAnsi="Arial" w:cs="Arial"/>
          <w:sz w:val="19"/>
          <w:szCs w:val="19"/>
        </w:rPr>
      </w:pPr>
      <w:r>
        <w:rPr>
          <w:rFonts w:hint="default" w:ascii="Arial" w:hAnsi="Arial" w:cs="Arial"/>
          <w:sz w:val="19"/>
          <w:szCs w:val="19"/>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"art165" </w:instrText>
      </w:r>
      <w:r>
        <w:rPr>
          <w:rFonts w:hint="default" w:ascii="Arial" w:hAnsi="Arial" w:cs="Arial"/>
          <w:sz w:val="19"/>
          <w:szCs w:val="19"/>
        </w:rPr>
        <w:fldChar w:fldCharType="separate"/>
      </w:r>
      <w:r>
        <w:rPr>
          <w:rStyle w:val="325"/>
          <w:rFonts w:hint="default" w:ascii="Arial" w:hAnsi="Arial" w:cs="Arial"/>
          <w:sz w:val="19"/>
          <w:szCs w:val="19"/>
        </w:rPr>
        <w:t>art. 165 da Lei nº 14.133, de 2021</w:t>
      </w:r>
      <w:r>
        <w:rPr>
          <w:rStyle w:val="325"/>
          <w:rFonts w:hint="default" w:ascii="Arial" w:hAnsi="Arial" w:cs="Arial"/>
          <w:sz w:val="19"/>
          <w:szCs w:val="19"/>
        </w:rPr>
        <w:fldChar w:fldCharType="end"/>
      </w:r>
      <w:r>
        <w:rPr>
          <w:rFonts w:hint="default" w:ascii="Arial" w:hAnsi="Arial" w:cs="Arial"/>
          <w:sz w:val="19"/>
          <w:szCs w:val="19"/>
        </w:rPr>
        <w:t>.</w:t>
      </w:r>
    </w:p>
    <w:p w14:paraId="47BB8F2C">
      <w:pPr>
        <w:pStyle w:val="304"/>
        <w:spacing w:before="0" w:after="0" w:line="360" w:lineRule="auto"/>
        <w:rPr>
          <w:rFonts w:hint="default" w:ascii="Arial" w:hAnsi="Arial" w:cs="Arial"/>
          <w:sz w:val="19"/>
          <w:szCs w:val="19"/>
        </w:rPr>
      </w:pPr>
      <w:r>
        <w:rPr>
          <w:rFonts w:hint="default" w:ascii="Arial" w:hAnsi="Arial" w:cs="Arial"/>
          <w:sz w:val="19"/>
          <w:szCs w:val="19"/>
        </w:rPr>
        <w:t>9.2 O prazo recursal é de 3 (três) dias úteis, contados da data de intimação ou de lavratura da ata.</w:t>
      </w:r>
    </w:p>
    <w:p w14:paraId="3C368FA6">
      <w:pPr>
        <w:pStyle w:val="304"/>
        <w:spacing w:before="0" w:after="0" w:line="360" w:lineRule="auto"/>
        <w:rPr>
          <w:rFonts w:hint="default" w:ascii="Arial" w:hAnsi="Arial" w:cs="Arial"/>
          <w:sz w:val="19"/>
          <w:szCs w:val="19"/>
        </w:rPr>
      </w:pPr>
      <w:r>
        <w:rPr>
          <w:rFonts w:hint="default" w:ascii="Arial" w:hAnsi="Arial" w:cs="Arial"/>
          <w:sz w:val="19"/>
          <w:szCs w:val="19"/>
        </w:rPr>
        <w:t>9.3 Quando o recurso apresentado impugnar o julgamento das propostas ou o ato de habilitação ou inabilitação do licitante:</w:t>
      </w:r>
    </w:p>
    <w:p w14:paraId="464CA809">
      <w:pPr>
        <w:pStyle w:val="305"/>
        <w:numPr>
          <w:ilvl w:val="2"/>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a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poderá, ao final da sessão e no prazo de até </w:t>
      </w:r>
      <w:r>
        <w:rPr>
          <w:rFonts w:hint="default" w:ascii="Arial" w:hAnsi="Arial" w:cs="Arial"/>
          <w:sz w:val="19"/>
          <w:szCs w:val="19"/>
          <w:lang w:val="pt-BR"/>
        </w:rPr>
        <w:t>10 (dez</w:t>
      </w:r>
      <w:r>
        <w:rPr>
          <w:rFonts w:hint="default" w:ascii="Arial" w:hAnsi="Arial" w:cs="Arial"/>
          <w:sz w:val="19"/>
          <w:szCs w:val="19"/>
        </w:rPr>
        <w:t>) minutos, recorrer das decisões tomadas durante a sessão da licitação;</w:t>
      </w:r>
    </w:p>
    <w:p w14:paraId="3064FC4C">
      <w:pPr>
        <w:numPr>
          <w:ilvl w:val="3"/>
          <w:numId w:val="13"/>
        </w:numPr>
        <w:tabs>
          <w:tab w:val="left" w:pos="426"/>
        </w:tabs>
        <w:spacing w:line="360" w:lineRule="auto"/>
        <w:ind w:left="0" w:firstLine="0"/>
        <w:jc w:val="both"/>
        <w:rPr>
          <w:rFonts w:hint="default" w:ascii="Arial" w:hAnsi="Arial" w:cs="Arial"/>
          <w:sz w:val="19"/>
          <w:szCs w:val="19"/>
        </w:rPr>
      </w:pPr>
      <w:r>
        <w:rPr>
          <w:rFonts w:hint="default" w:ascii="Arial" w:hAnsi="Arial" w:cs="Arial"/>
          <w:sz w:val="19"/>
          <w:szCs w:val="19"/>
        </w:rPr>
        <w:t xml:space="preserve"> </w:t>
      </w:r>
      <w:r>
        <w:rPr>
          <w:rFonts w:hint="default" w:ascii="Arial" w:hAnsi="Arial" w:cs="Arial"/>
          <w:sz w:val="19"/>
          <w:szCs w:val="19"/>
        </w:rPr>
        <w:tab/>
      </w:r>
      <w:r>
        <w:rPr>
          <w:rFonts w:hint="default" w:ascii="Arial" w:hAnsi="Arial" w:cs="Arial"/>
          <w:sz w:val="19"/>
          <w:szCs w:val="19"/>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9"/>
          <w:szCs w:val="19"/>
        </w:rPr>
      </w:pPr>
      <w:r>
        <w:rPr>
          <w:rFonts w:hint="default" w:ascii="Arial" w:hAnsi="Arial" w:cs="Arial"/>
          <w:sz w:val="19"/>
          <w:szCs w:val="19"/>
        </w:rPr>
        <w:t>a) recusá-lo, se:</w:t>
      </w:r>
    </w:p>
    <w:p w14:paraId="33873C21">
      <w:pPr>
        <w:spacing w:line="360" w:lineRule="auto"/>
        <w:jc w:val="both"/>
        <w:rPr>
          <w:rFonts w:hint="default" w:ascii="Arial" w:hAnsi="Arial" w:cs="Arial"/>
          <w:sz w:val="19"/>
          <w:szCs w:val="19"/>
        </w:rPr>
      </w:pPr>
      <w:r>
        <w:rPr>
          <w:rFonts w:hint="default" w:ascii="Arial" w:hAnsi="Arial" w:cs="Arial"/>
          <w:sz w:val="19"/>
          <w:szCs w:val="19"/>
        </w:rPr>
        <w:t xml:space="preserve">1. relativo a decisões e atos anteriores à sessão; </w:t>
      </w:r>
    </w:p>
    <w:p w14:paraId="0DD7574D">
      <w:pPr>
        <w:spacing w:line="360" w:lineRule="auto"/>
        <w:jc w:val="both"/>
        <w:rPr>
          <w:rFonts w:hint="default" w:ascii="Arial" w:hAnsi="Arial" w:cs="Arial"/>
          <w:sz w:val="19"/>
          <w:szCs w:val="19"/>
        </w:rPr>
      </w:pPr>
      <w:r>
        <w:rPr>
          <w:rFonts w:hint="default" w:ascii="Arial" w:hAnsi="Arial" w:cs="Arial"/>
          <w:sz w:val="19"/>
          <w:szCs w:val="19"/>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9"/>
          <w:szCs w:val="19"/>
        </w:rPr>
      </w:pPr>
      <w:r>
        <w:rPr>
          <w:rFonts w:hint="default" w:ascii="Arial" w:hAnsi="Arial" w:cs="Arial"/>
          <w:sz w:val="19"/>
          <w:szCs w:val="19"/>
        </w:rPr>
        <w:t xml:space="preserve">b) rever a decisão questionada, praticando os atos necessários; </w:t>
      </w:r>
    </w:p>
    <w:p w14:paraId="2C878144">
      <w:pPr>
        <w:spacing w:line="360" w:lineRule="auto"/>
        <w:jc w:val="both"/>
        <w:rPr>
          <w:rFonts w:hint="default" w:ascii="Arial" w:hAnsi="Arial" w:cs="Arial"/>
          <w:sz w:val="19"/>
          <w:szCs w:val="19"/>
        </w:rPr>
      </w:pPr>
      <w:r>
        <w:rPr>
          <w:rFonts w:hint="default" w:ascii="Arial" w:hAnsi="Arial" w:cs="Arial"/>
          <w:sz w:val="19"/>
          <w:szCs w:val="19"/>
        </w:rPr>
        <w:t>c) receber o recurso, encaminhando-o para decisão após o fim do prazo para apresentação das razões e contrarrazões recursais.</w:t>
      </w:r>
    </w:p>
    <w:p w14:paraId="69B8C843">
      <w:pPr>
        <w:pStyle w:val="305"/>
        <w:numPr>
          <w:ilvl w:val="2"/>
          <w:numId w:val="13"/>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prazo para apresentação das razões recursais será iniciado na data de intimação ou de lavratura da ata de habilitação ou inabilitação;</w:t>
      </w:r>
    </w:p>
    <w:p w14:paraId="1AB2636E">
      <w:pPr>
        <w:pStyle w:val="305"/>
        <w:numPr>
          <w:ilvl w:val="2"/>
          <w:numId w:val="13"/>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na hipótese de adoção da inversão de fases prevista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"art17§1" </w:instrText>
      </w:r>
      <w:r>
        <w:rPr>
          <w:rFonts w:hint="default" w:ascii="Arial" w:hAnsi="Arial" w:cs="Arial"/>
          <w:sz w:val="19"/>
          <w:szCs w:val="19"/>
        </w:rPr>
        <w:fldChar w:fldCharType="separate"/>
      </w:r>
      <w:r>
        <w:rPr>
          <w:rStyle w:val="325"/>
          <w:rFonts w:hint="default" w:ascii="Arial" w:hAnsi="Arial" w:cs="Arial"/>
          <w:sz w:val="19"/>
          <w:szCs w:val="19"/>
        </w:rPr>
        <w:t>§ 1º do art. 17 da Lei nº 14.133, de 2021</w:t>
      </w:r>
      <w:r>
        <w:rPr>
          <w:rStyle w:val="325"/>
          <w:rFonts w:hint="default" w:ascii="Arial" w:hAnsi="Arial" w:cs="Arial"/>
          <w:sz w:val="19"/>
          <w:szCs w:val="19"/>
        </w:rPr>
        <w:fldChar w:fldCharType="end"/>
      </w:r>
      <w:r>
        <w:rPr>
          <w:rFonts w:hint="default" w:ascii="Arial" w:hAnsi="Arial" w:cs="Arial"/>
          <w:sz w:val="19"/>
          <w:szCs w:val="19"/>
        </w:rPr>
        <w:t>, o prazo para apresentação das razões recursais será iniciado na data de intimação da ata de julgamento.</w:t>
      </w:r>
    </w:p>
    <w:p w14:paraId="34FE5381">
      <w:pPr>
        <w:pStyle w:val="304"/>
        <w:numPr>
          <w:ilvl w:val="1"/>
          <w:numId w:val="13"/>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recursos deverão ser encaminhados em campo próprio do sistema.</w:t>
      </w:r>
    </w:p>
    <w:p w14:paraId="6DFB2EFC">
      <w:pPr>
        <w:pStyle w:val="304"/>
        <w:numPr>
          <w:ilvl w:val="1"/>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recursos interpostos fora do prazo não serão conhecidos. </w:t>
      </w:r>
    </w:p>
    <w:p w14:paraId="0D2F4F65">
      <w:pPr>
        <w:pStyle w:val="304"/>
        <w:numPr>
          <w:ilvl w:val="1"/>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e o pedido de reconsideração terão efeito suspensivo do ato ou da decisão recorrida até que sobrevenha decisão final da autoridade competente. </w:t>
      </w:r>
    </w:p>
    <w:p w14:paraId="3048967F">
      <w:pPr>
        <w:pStyle w:val="304"/>
        <w:numPr>
          <w:ilvl w:val="1"/>
          <w:numId w:val="13"/>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acolhimento do recurso invalida tão somente os atos insuscetíveis de aproveitamento. </w:t>
      </w:r>
    </w:p>
    <w:p w14:paraId="748CA5CC">
      <w:pPr>
        <w:pStyle w:val="304"/>
        <w:numPr>
          <w:ilvl w:val="1"/>
          <w:numId w:val="13"/>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autos do processo permanecerão com vista franqueada aos interessados no sítio eletrônico </w:t>
      </w:r>
      <w:r>
        <w:rPr>
          <w:rFonts w:hint="default" w:ascii="Arial" w:hAnsi="Arial" w:cs="Arial"/>
          <w:sz w:val="19"/>
          <w:szCs w:val="19"/>
        </w:rPr>
        <w:fldChar w:fldCharType="begin"/>
      </w:r>
      <w:r>
        <w:rPr>
          <w:rFonts w:hint="default" w:ascii="Arial" w:hAnsi="Arial" w:cs="Arial"/>
          <w:sz w:val="19"/>
          <w:szCs w:val="19"/>
        </w:rPr>
        <w:instrText xml:space="preserve"> HYPERLINK "http://www.cataguases.mg.gov.br" </w:instrText>
      </w:r>
      <w:r>
        <w:rPr>
          <w:rFonts w:hint="default" w:ascii="Arial" w:hAnsi="Arial" w:cs="Arial"/>
          <w:sz w:val="19"/>
          <w:szCs w:val="19"/>
        </w:rPr>
        <w:fldChar w:fldCharType="separate"/>
      </w:r>
      <w:r>
        <w:rPr>
          <w:rStyle w:val="12"/>
          <w:rFonts w:hint="default" w:ascii="Arial" w:hAnsi="Arial" w:cs="Arial"/>
          <w:sz w:val="19"/>
          <w:szCs w:val="19"/>
        </w:rPr>
        <w:t>www.cataguases.mg.gov.br</w:t>
      </w:r>
      <w:r>
        <w:rPr>
          <w:rStyle w:val="12"/>
          <w:rFonts w:hint="default" w:ascii="Arial" w:hAnsi="Arial" w:cs="Arial"/>
          <w:sz w:val="19"/>
          <w:szCs w:val="19"/>
        </w:rPr>
        <w:fldChar w:fldCharType="end"/>
      </w:r>
      <w:r>
        <w:rPr>
          <w:rFonts w:hint="default" w:ascii="Arial" w:hAnsi="Arial" w:cs="Arial"/>
          <w:sz w:val="19"/>
          <w:szCs w:val="19"/>
        </w:rPr>
        <w:t>.</w:t>
      </w:r>
    </w:p>
    <w:p w14:paraId="0EBDD035">
      <w:pPr>
        <w:pStyle w:val="304"/>
        <w:numPr>
          <w:ilvl w:val="0"/>
          <w:numId w:val="0"/>
        </w:numPr>
        <w:tabs>
          <w:tab w:val="left" w:pos="993"/>
        </w:tabs>
        <w:spacing w:before="0" w:after="0" w:line="240" w:lineRule="auto"/>
        <w:ind w:leftChars="0"/>
        <w:rPr>
          <w:rFonts w:hint="default" w:ascii="Arial" w:hAnsi="Arial" w:cs="Arial"/>
          <w:sz w:val="19"/>
          <w:szCs w:val="19"/>
        </w:rPr>
      </w:pPr>
    </w:p>
    <w:p w14:paraId="624B282C">
      <w:pPr>
        <w:pStyle w:val="279"/>
        <w:numPr>
          <w:ilvl w:val="0"/>
          <w:numId w:val="13"/>
        </w:numPr>
        <w:spacing w:before="0" w:line="360" w:lineRule="auto"/>
        <w:ind w:left="0" w:firstLine="0"/>
        <w:rPr>
          <w:rFonts w:hint="default" w:ascii="Arial" w:hAnsi="Arial" w:cs="Arial"/>
          <w:sz w:val="19"/>
          <w:szCs w:val="19"/>
        </w:rPr>
      </w:pPr>
      <w:r>
        <w:rPr>
          <w:rFonts w:hint="default" w:ascii="Arial" w:hAnsi="Arial" w:cs="Arial"/>
          <w:sz w:val="19"/>
          <w:szCs w:val="19"/>
        </w:rPr>
        <w:t>DA ADJUDICAÇÃO E HOMOLOGAÇÃO</w:t>
      </w:r>
    </w:p>
    <w:p w14:paraId="3A11236E">
      <w:pPr>
        <w:pStyle w:val="279"/>
        <w:numPr>
          <w:ilvl w:val="1"/>
          <w:numId w:val="14"/>
        </w:numPr>
        <w:spacing w:before="0" w:line="360" w:lineRule="auto"/>
        <w:ind w:left="0" w:firstLine="0"/>
        <w:rPr>
          <w:rFonts w:hint="default" w:ascii="Arial" w:hAnsi="Arial" w:cs="Arial"/>
          <w:sz w:val="19"/>
          <w:szCs w:val="19"/>
        </w:rPr>
      </w:pPr>
      <w:r>
        <w:rPr>
          <w:rFonts w:hint="default" w:ascii="Arial" w:hAnsi="Arial" w:cs="Arial"/>
          <w:b w:val="0"/>
          <w:sz w:val="19"/>
          <w:szCs w:val="19"/>
        </w:rPr>
        <w:t xml:space="preserve"> O objeto da licitação será adjudicado/homologado ao licitante declarado vencedor, pela Autoridade Competente.</w:t>
      </w:r>
    </w:p>
    <w:p w14:paraId="6C44B8AF">
      <w:pPr>
        <w:rPr>
          <w:rFonts w:hint="default"/>
        </w:rPr>
      </w:pPr>
    </w:p>
    <w:p w14:paraId="480FB633">
      <w:pPr>
        <w:tabs>
          <w:tab w:val="left" w:pos="567"/>
        </w:tabs>
        <w:autoSpaceDE w:val="0"/>
        <w:autoSpaceDN w:val="0"/>
        <w:adjustRightInd w:val="0"/>
        <w:spacing w:line="360" w:lineRule="auto"/>
        <w:rPr>
          <w:rFonts w:hint="default" w:ascii="Arial" w:hAnsi="Arial" w:cs="Arial"/>
          <w:b/>
          <w:bCs/>
          <w:sz w:val="19"/>
          <w:szCs w:val="19"/>
        </w:rPr>
      </w:pPr>
      <w:r>
        <w:rPr>
          <w:rFonts w:hint="default" w:ascii="Arial" w:hAnsi="Arial" w:cs="Arial"/>
          <w:b/>
          <w:sz w:val="19"/>
          <w:szCs w:val="19"/>
        </w:rPr>
        <w:t xml:space="preserve">11.   </w:t>
      </w:r>
      <w:r>
        <w:rPr>
          <w:rFonts w:hint="default" w:ascii="Arial" w:hAnsi="Arial" w:cs="Arial"/>
          <w:b/>
          <w:bCs/>
          <w:sz w:val="19"/>
          <w:szCs w:val="19"/>
        </w:rPr>
        <w:t>DA GARANTIA DE EXECUÇÃO</w:t>
      </w:r>
    </w:p>
    <w:p w14:paraId="7733BCCD">
      <w:pPr>
        <w:tabs>
          <w:tab w:val="left" w:pos="567"/>
        </w:tabs>
        <w:spacing w:line="360" w:lineRule="auto"/>
        <w:jc w:val="both"/>
        <w:rPr>
          <w:rFonts w:hint="default" w:ascii="Arial" w:hAnsi="Arial" w:cs="Arial"/>
          <w:sz w:val="19"/>
          <w:szCs w:val="19"/>
        </w:rPr>
      </w:pPr>
      <w:r>
        <w:rPr>
          <w:rFonts w:hint="default" w:ascii="Arial" w:hAnsi="Arial" w:cs="Arial"/>
          <w:sz w:val="19"/>
          <w:szCs w:val="19"/>
        </w:rPr>
        <w:t xml:space="preserve">11.1. </w:t>
      </w:r>
      <w:r>
        <w:rPr>
          <w:rFonts w:hint="default" w:ascii="Arial" w:hAnsi="Arial" w:cs="Arial"/>
          <w:sz w:val="19"/>
          <w:szCs w:val="19"/>
          <w:lang w:val="pt-BR"/>
        </w:rPr>
        <w:t>Conforme termo de referência</w:t>
      </w:r>
      <w:r>
        <w:rPr>
          <w:rFonts w:hint="default" w:ascii="Arial" w:hAnsi="Arial" w:cs="Arial"/>
          <w:sz w:val="19"/>
          <w:szCs w:val="19"/>
        </w:rPr>
        <w:t>;</w:t>
      </w:r>
    </w:p>
    <w:p w14:paraId="4970755C">
      <w:pPr>
        <w:tabs>
          <w:tab w:val="left" w:pos="567"/>
        </w:tabs>
        <w:jc w:val="both"/>
        <w:rPr>
          <w:rFonts w:hint="default" w:ascii="Arial" w:hAnsi="Arial" w:cs="Arial"/>
          <w:sz w:val="19"/>
          <w:szCs w:val="19"/>
        </w:rPr>
      </w:pPr>
    </w:p>
    <w:p w14:paraId="16E3AAB7">
      <w:pPr>
        <w:pStyle w:val="221"/>
        <w:numPr>
          <w:ilvl w:val="0"/>
          <w:numId w:val="15"/>
        </w:numPr>
        <w:tabs>
          <w:tab w:val="left" w:pos="567"/>
        </w:tabs>
        <w:spacing w:line="360" w:lineRule="auto"/>
        <w:ind w:left="0" w:firstLine="0"/>
        <w:rPr>
          <w:rFonts w:hint="default" w:ascii="Arial" w:hAnsi="Arial" w:cs="Arial"/>
          <w:b/>
          <w:sz w:val="19"/>
          <w:szCs w:val="19"/>
        </w:rPr>
      </w:pPr>
      <w:r>
        <w:rPr>
          <w:rFonts w:hint="default" w:ascii="Arial" w:hAnsi="Arial" w:cs="Arial"/>
          <w:b/>
          <w:sz w:val="19"/>
          <w:szCs w:val="19"/>
        </w:rPr>
        <w:t>DA ATA DE REGISTRO DE PREÇOS</w:t>
      </w:r>
    </w:p>
    <w:p w14:paraId="2AE01A5D">
      <w:pPr>
        <w:pStyle w:val="221"/>
        <w:numPr>
          <w:ilvl w:val="1"/>
          <w:numId w:val="15"/>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5"/>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(b) a justificativa apresentada seja aceita pela Administração.</w:t>
      </w:r>
    </w:p>
    <w:p w14:paraId="25FBD770">
      <w:pPr>
        <w:pStyle w:val="304"/>
        <w:numPr>
          <w:ilvl w:val="1"/>
          <w:numId w:val="15"/>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A ata de registro de preços será preferencialmente assinada por meio de assinatura digital e disponibilizada no sistema de registro de preços.</w:t>
      </w:r>
    </w:p>
    <w:p w14:paraId="4E151197">
      <w:pPr>
        <w:pStyle w:val="304"/>
        <w:numPr>
          <w:ilvl w:val="1"/>
          <w:numId w:val="15"/>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O preço registrado, com a indicação dos fornecedores, será divulgado no PNCP e disponibilizado durante a vigência da ata de registro de preços.</w:t>
      </w:r>
    </w:p>
    <w:p w14:paraId="125BAB3B">
      <w:pPr>
        <w:pStyle w:val="304"/>
        <w:numPr>
          <w:ilvl w:val="1"/>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9"/>
          <w:szCs w:val="19"/>
        </w:rPr>
      </w:pPr>
    </w:p>
    <w:p w14:paraId="2AF672C0">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9"/>
          <w:szCs w:val="19"/>
        </w:rPr>
      </w:pPr>
      <w:r>
        <w:rPr>
          <w:rFonts w:hint="default" w:ascii="Arial" w:hAnsi="Arial" w:cs="Arial"/>
          <w:sz w:val="19"/>
          <w:szCs w:val="19"/>
        </w:rPr>
        <w:t xml:space="preserve">DA FORMAÇÃO DO CADASTRO DE RESERVA </w:t>
      </w:r>
    </w:p>
    <w:p w14:paraId="23DC0ED0">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9"/>
          <w:szCs w:val="19"/>
        </w:rPr>
      </w:pPr>
      <w:r>
        <w:rPr>
          <w:rFonts w:hint="default" w:ascii="Arial" w:hAnsi="Arial" w:cs="Arial"/>
          <w:b w:val="0"/>
          <w:sz w:val="19"/>
          <w:szCs w:val="19"/>
        </w:rPr>
        <w:t>Após a homologação da licitação, será incluído na ata, na forma de anexo, o registro:</w:t>
      </w:r>
    </w:p>
    <w:p w14:paraId="10B25E17">
      <w:pPr>
        <w:pStyle w:val="305"/>
        <w:numPr>
          <w:ilvl w:val="2"/>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dos licitantes que aceitarem cotar o objeto com preço igual ao do adjudicatário, observada a classificação na licitação; e </w:t>
      </w:r>
    </w:p>
    <w:p w14:paraId="1E8481F0">
      <w:pPr>
        <w:pStyle w:val="305"/>
        <w:numPr>
          <w:ilvl w:val="2"/>
          <w:numId w:val="15"/>
        </w:numPr>
        <w:tabs>
          <w:tab w:val="left" w:pos="0"/>
        </w:tabs>
        <w:suppressAutoHyphens w:val="0"/>
        <w:spacing w:before="0" w:after="0" w:line="360" w:lineRule="auto"/>
        <w:ind w:left="0" w:firstLine="0"/>
        <w:rPr>
          <w:rFonts w:hint="default" w:ascii="Arial" w:hAnsi="Arial" w:cs="Arial"/>
          <w:iCs/>
          <w:sz w:val="19"/>
          <w:szCs w:val="19"/>
        </w:rPr>
      </w:pPr>
      <w:r>
        <w:rPr>
          <w:rFonts w:hint="default" w:ascii="Arial" w:hAnsi="Arial" w:cs="Arial"/>
          <w:sz w:val="19"/>
          <w:szCs w:val="19"/>
        </w:rPr>
        <w:t>dos licitantes que mantiverem sua proposta original</w:t>
      </w:r>
    </w:p>
    <w:p w14:paraId="5C5F1DE8">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9"/>
          <w:szCs w:val="19"/>
        </w:rPr>
      </w:pPr>
      <w:r>
        <w:rPr>
          <w:rFonts w:hint="default" w:ascii="Arial" w:hAnsi="Arial" w:cs="Arial"/>
          <w:sz w:val="19"/>
          <w:szCs w:val="19"/>
        </w:rPr>
        <w:t xml:space="preserve">  Será respeitada, nas contratações, a ordem de classificação dos licitantes ou fornecedores registrados na ata.</w:t>
      </w:r>
    </w:p>
    <w:p w14:paraId="6746BBE5">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A apresentação de novas propostas na forma deste item não prejudicará o resultado do certame em relação ao licitante mais bem classificado.</w:t>
      </w:r>
    </w:p>
    <w:p w14:paraId="23F4E0F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9"/>
          <w:szCs w:val="19"/>
        </w:rPr>
      </w:pPr>
      <w:r>
        <w:rPr>
          <w:rFonts w:hint="default" w:ascii="Arial" w:hAnsi="Arial" w:cs="Arial"/>
          <w:color w:val="FF0000"/>
          <w:sz w:val="19"/>
          <w:szCs w:val="19"/>
        </w:rPr>
        <w:t xml:space="preserve"> </w:t>
      </w:r>
      <w:r>
        <w:rPr>
          <w:rFonts w:hint="default" w:ascii="Arial" w:hAnsi="Arial" w:cs="Arial"/>
          <w:sz w:val="19"/>
          <w:szCs w:val="19"/>
        </w:rPr>
        <w:t>A habilitação dos licitantes que comporão o cadastro de reserva será efetuada quando houver necessidade de contratação dos licitantes remanescentes, nas seguintes hipóteses:</w:t>
      </w:r>
    </w:p>
    <w:p w14:paraId="67999ADC">
      <w:pPr>
        <w:pStyle w:val="305"/>
        <w:numPr>
          <w:ilvl w:val="2"/>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quando o licitante vencedor não assinar a ata de registro de preços no prazo e nas condições estabelecidos no edital; ou</w:t>
      </w:r>
    </w:p>
    <w:p w14:paraId="248CF020">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quando houver o cancelamento do registro do fornecedor ou do registro de preços, nas hipóteses previstas nos art. 28 e art. 29 do Decreto nº 11.462/23.</w:t>
      </w:r>
    </w:p>
    <w:p w14:paraId="4F946068">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5"/>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9"/>
          <w:szCs w:val="19"/>
        </w:rPr>
      </w:pPr>
    </w:p>
    <w:p w14:paraId="0BD4E85D">
      <w:pPr>
        <w:tabs>
          <w:tab w:val="left" w:pos="567"/>
        </w:tabs>
        <w:autoSpaceDE w:val="0"/>
        <w:autoSpaceDN w:val="0"/>
        <w:adjustRightInd w:val="0"/>
        <w:spacing w:line="360" w:lineRule="auto"/>
        <w:jc w:val="both"/>
        <w:rPr>
          <w:rFonts w:hint="default" w:ascii="Arial" w:hAnsi="Arial" w:cs="Arial"/>
          <w:color w:val="FF0000"/>
          <w:sz w:val="19"/>
          <w:szCs w:val="19"/>
        </w:rPr>
      </w:pPr>
      <w:r>
        <w:rPr>
          <w:rFonts w:hint="default" w:ascii="Arial" w:hAnsi="Arial" w:cs="Arial"/>
          <w:b/>
          <w:sz w:val="19"/>
          <w:szCs w:val="19"/>
        </w:rPr>
        <w:t>14.</w:t>
      </w:r>
      <w:r>
        <w:rPr>
          <w:rFonts w:hint="default" w:ascii="Arial" w:hAnsi="Arial" w:cs="Arial"/>
          <w:color w:val="FF0000"/>
          <w:sz w:val="19"/>
          <w:szCs w:val="19"/>
        </w:rPr>
        <w:t xml:space="preserve"> </w:t>
      </w:r>
      <w:r>
        <w:rPr>
          <w:rFonts w:hint="default" w:ascii="Arial" w:hAnsi="Arial" w:cs="Arial"/>
          <w:b/>
          <w:bCs/>
          <w:sz w:val="19"/>
          <w:szCs w:val="19"/>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14.2 Poderá ser substituído a marca/modelo do produto</w:t>
      </w:r>
      <w:r>
        <w:rPr>
          <w:rFonts w:hint="default" w:ascii="Arial" w:hAnsi="Arial" w:cs="Arial"/>
          <w:sz w:val="19"/>
          <w:szCs w:val="19"/>
          <w:lang w:val="pt-BR"/>
        </w:rPr>
        <w:t>, quando for o caso, ob</w:t>
      </w:r>
      <w:r>
        <w:rPr>
          <w:rFonts w:hint="default" w:ascii="Arial" w:hAnsi="Arial" w:cs="Arial"/>
          <w:sz w:val="19"/>
          <w:szCs w:val="19"/>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9"/>
          <w:szCs w:val="19"/>
        </w:rPr>
      </w:pPr>
      <w:r>
        <w:rPr>
          <w:rFonts w:hint="default" w:ascii="Arial" w:hAnsi="Arial" w:cs="Arial"/>
          <w:b/>
          <w:bCs/>
          <w:sz w:val="19"/>
          <w:szCs w:val="19"/>
        </w:rPr>
        <w:t>15. DAS OBRIGAÇÕES DA CONTRATANTE E DA CONTRATADA</w:t>
      </w:r>
    </w:p>
    <w:p w14:paraId="1462CFBF">
      <w:pPr>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9"/>
          <w:szCs w:val="19"/>
        </w:rPr>
      </w:pPr>
      <w:r>
        <w:rPr>
          <w:rFonts w:hint="default" w:ascii="Arial" w:hAnsi="Arial" w:cs="Arial"/>
          <w:b/>
          <w:bCs/>
          <w:sz w:val="19"/>
          <w:szCs w:val="19"/>
        </w:rPr>
        <w:t xml:space="preserve"> </w:t>
      </w:r>
    </w:p>
    <w:p w14:paraId="05C6BF72">
      <w:pPr>
        <w:spacing w:line="360" w:lineRule="auto"/>
        <w:jc w:val="both"/>
        <w:rPr>
          <w:rFonts w:hint="default" w:ascii="Arial" w:hAnsi="Arial" w:cs="Arial"/>
          <w:b/>
          <w:bCs/>
          <w:sz w:val="19"/>
          <w:szCs w:val="19"/>
        </w:rPr>
      </w:pPr>
      <w:r>
        <w:rPr>
          <w:rFonts w:hint="default" w:ascii="Arial" w:hAnsi="Arial" w:cs="Arial"/>
          <w:b/>
          <w:bCs/>
          <w:sz w:val="19"/>
          <w:szCs w:val="19"/>
        </w:rPr>
        <w:t xml:space="preserve">16. DO PAGAMENTO </w:t>
      </w:r>
    </w:p>
    <w:p w14:paraId="63400C1E">
      <w:pPr>
        <w:spacing w:line="360" w:lineRule="auto"/>
        <w:jc w:val="both"/>
        <w:rPr>
          <w:rFonts w:hint="default" w:ascii="Arial" w:hAnsi="Arial" w:cs="Arial"/>
          <w:sz w:val="19"/>
          <w:szCs w:val="19"/>
        </w:rPr>
      </w:pPr>
      <w:r>
        <w:rPr>
          <w:rFonts w:hint="default" w:ascii="Arial" w:hAnsi="Arial" w:cs="Arial"/>
          <w:color w:val="000000"/>
          <w:sz w:val="19"/>
          <w:szCs w:val="19"/>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9"/>
          <w:szCs w:val="19"/>
        </w:rPr>
        <w:t xml:space="preserve">no prazo de 30 (trinta) dias </w:t>
      </w:r>
      <w:r>
        <w:rPr>
          <w:rFonts w:hint="default" w:ascii="Arial" w:hAnsi="Arial" w:cs="Arial"/>
          <w:color w:val="000000"/>
          <w:sz w:val="19"/>
          <w:szCs w:val="19"/>
        </w:rPr>
        <w:t xml:space="preserve">após a apresentação da </w:t>
      </w:r>
      <w:r>
        <w:rPr>
          <w:rFonts w:hint="default" w:ascii="Arial" w:hAnsi="Arial" w:cs="Arial"/>
          <w:color w:val="000000"/>
          <w:sz w:val="19"/>
          <w:szCs w:val="19"/>
          <w:u w:val="single"/>
        </w:rPr>
        <w:t xml:space="preserve">Nota Fiscal, </w:t>
      </w:r>
      <w:r>
        <w:rPr>
          <w:rFonts w:hint="default" w:ascii="Arial" w:hAnsi="Arial" w:cs="Arial"/>
          <w:sz w:val="19"/>
          <w:szCs w:val="19"/>
        </w:rPr>
        <w:t>desde que atendidas as exigências do Edital.</w:t>
      </w:r>
    </w:p>
    <w:p w14:paraId="1EE5FBF2">
      <w:pPr>
        <w:spacing w:line="360" w:lineRule="auto"/>
        <w:jc w:val="both"/>
        <w:rPr>
          <w:rFonts w:hint="default" w:ascii="Arial" w:hAnsi="Arial" w:cs="Arial"/>
          <w:sz w:val="19"/>
          <w:szCs w:val="19"/>
        </w:rPr>
      </w:pPr>
      <w:r>
        <w:rPr>
          <w:rFonts w:hint="default" w:ascii="Arial" w:hAnsi="Arial" w:cs="Arial"/>
          <w:sz w:val="19"/>
          <w:szCs w:val="19"/>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9"/>
          <w:szCs w:val="19"/>
        </w:rPr>
      </w:pPr>
      <w:r>
        <w:rPr>
          <w:rFonts w:hint="default" w:ascii="Arial" w:hAnsi="Arial" w:cs="Arial"/>
          <w:sz w:val="19"/>
          <w:szCs w:val="19"/>
        </w:rPr>
        <w:t>16.3 Os documentos comprovando tal centralização deverão ser fornecidos pelos órgãos competentes, constando da documentação apresentada na Habilitação.</w:t>
      </w:r>
    </w:p>
    <w:p w14:paraId="20389BE9">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lang w:val="pt-BR"/>
        </w:rPr>
      </w:pPr>
      <w:r>
        <w:rPr>
          <w:rFonts w:hint="default" w:ascii="Arial" w:hAnsi="Arial" w:cs="Arial"/>
          <w:sz w:val="19"/>
          <w:szCs w:val="19"/>
        </w:rPr>
        <w:t xml:space="preserve">16.4 A dotação orçamentária destinada ao pagamento do objeto licitado será prevista e indicada </w:t>
      </w:r>
      <w:r>
        <w:rPr>
          <w:rFonts w:hint="default" w:ascii="Arial" w:hAnsi="Arial" w:cs="Arial"/>
          <w:sz w:val="19"/>
          <w:szCs w:val="19"/>
          <w:lang w:val="pt-BR"/>
        </w:rPr>
        <w:t>na autorização de fornecimento e nota de empenho</w:t>
      </w:r>
      <w:r>
        <w:rPr>
          <w:rFonts w:hint="default" w:ascii="Arial" w:hAnsi="Arial" w:cs="Arial"/>
          <w:sz w:val="19"/>
          <w:szCs w:val="19"/>
        </w:rPr>
        <w:t xml:space="preserve"> pela área competente da Prefeitura Municipal de Cataguases, sendo</w:t>
      </w:r>
      <w:r>
        <w:rPr>
          <w:rFonts w:hint="default" w:ascii="Arial" w:hAnsi="Arial" w:cs="Arial"/>
          <w:sz w:val="19"/>
          <w:szCs w:val="19"/>
          <w:lang w:val="pt-BR"/>
        </w:rPr>
        <w:t xml:space="preserve"> a Secretaria de Cultura e Turismo.</w:t>
      </w:r>
    </w:p>
    <w:p w14:paraId="4FB3CAA7">
      <w:pPr>
        <w:pStyle w:val="221"/>
        <w:tabs>
          <w:tab w:val="left" w:pos="851"/>
          <w:tab w:val="left" w:pos="993"/>
        </w:tabs>
        <w:spacing w:line="360" w:lineRule="auto"/>
        <w:ind w:left="0"/>
        <w:jc w:val="both"/>
        <w:rPr>
          <w:rFonts w:hint="default" w:ascii="Arial" w:hAnsi="Arial" w:cs="Arial"/>
          <w:sz w:val="19"/>
          <w:szCs w:val="19"/>
        </w:rPr>
      </w:pPr>
      <w:r>
        <w:rPr>
          <w:rFonts w:hint="default" w:ascii="Arial" w:hAnsi="Arial" w:cs="Arial"/>
          <w:sz w:val="19"/>
          <w:szCs w:val="19"/>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9"/>
          <w:szCs w:val="19"/>
        </w:rPr>
      </w:pPr>
      <w:r>
        <w:rPr>
          <w:rFonts w:hint="default" w:ascii="Arial" w:hAnsi="Arial" w:cs="Arial"/>
          <w:sz w:val="19"/>
          <w:szCs w:val="19"/>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9"/>
          <w:szCs w:val="19"/>
        </w:rPr>
      </w:pPr>
      <w:r>
        <w:rPr>
          <w:rFonts w:hint="default" w:ascii="Arial" w:hAnsi="Arial" w:cs="Arial"/>
          <w:sz w:val="19"/>
          <w:szCs w:val="19"/>
        </w:rPr>
        <w:t>16.7 O valor estimado para contratação é de</w:t>
      </w:r>
      <w:r>
        <w:rPr>
          <w:rFonts w:hint="default" w:ascii="Arial" w:hAnsi="Arial" w:cs="Arial"/>
          <w:b w:val="0"/>
          <w:bCs w:val="0"/>
          <w:sz w:val="19"/>
          <w:szCs w:val="19"/>
        </w:rPr>
        <w:t xml:space="preserve"> </w:t>
      </w:r>
      <w:r>
        <w:rPr>
          <w:rFonts w:hint="default" w:ascii="Arial" w:hAnsi="Arial" w:eastAsia="Times New Roman" w:cs="Arial"/>
          <w:sz w:val="19"/>
          <w:szCs w:val="19"/>
        </w:rPr>
        <w:t>R$ 203.200,00 (duzentos e três mil e duzentos reais)</w:t>
      </w:r>
      <w:r>
        <w:rPr>
          <w:rFonts w:hint="default" w:ascii="Arial" w:hAnsi="Arial" w:cs="Arial"/>
          <w:sz w:val="19"/>
          <w:szCs w:val="19"/>
        </w:rPr>
        <w:t>, de acordo com o mapa analítico anexo.</w:t>
      </w:r>
    </w:p>
    <w:p w14:paraId="638815D3">
      <w:pPr>
        <w:spacing w:line="360" w:lineRule="auto"/>
        <w:jc w:val="both"/>
        <w:rPr>
          <w:rFonts w:hint="default" w:ascii="Arial" w:hAnsi="Arial" w:cs="Arial"/>
          <w:b/>
          <w:sz w:val="19"/>
          <w:szCs w:val="19"/>
        </w:rPr>
      </w:pPr>
      <w:r>
        <w:rPr>
          <w:rFonts w:hint="default" w:ascii="Arial" w:hAnsi="Arial" w:cs="Arial"/>
          <w:sz w:val="19"/>
          <w:szCs w:val="19"/>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9"/>
          <w:szCs w:val="19"/>
        </w:rPr>
      </w:pPr>
      <w:r>
        <w:rPr>
          <w:rFonts w:hint="default" w:ascii="Arial" w:hAnsi="Arial" w:cs="Arial"/>
          <w:sz w:val="19"/>
          <w:szCs w:val="19"/>
        </w:rPr>
        <w:t>16.9 A empresa deverá observar e cumprir o Decreto 5.811/2023 para as emissões da NF em relação às retenções do IR.</w:t>
      </w:r>
    </w:p>
    <w:p w14:paraId="00642C98">
      <w:pPr>
        <w:spacing w:line="240" w:lineRule="auto"/>
        <w:jc w:val="both"/>
        <w:rPr>
          <w:rFonts w:hint="default" w:ascii="Arial" w:hAnsi="Arial" w:cs="Arial"/>
          <w:sz w:val="19"/>
          <w:szCs w:val="19"/>
        </w:rPr>
      </w:pPr>
    </w:p>
    <w:p w14:paraId="0151681F">
      <w:pPr>
        <w:pStyle w:val="279"/>
        <w:numPr>
          <w:ilvl w:val="0"/>
          <w:numId w:val="0"/>
        </w:numPr>
        <w:tabs>
          <w:tab w:val="left" w:pos="284"/>
          <w:tab w:val="clear" w:pos="567"/>
        </w:tabs>
        <w:spacing w:before="0" w:line="360" w:lineRule="auto"/>
        <w:rPr>
          <w:rFonts w:hint="default" w:ascii="Arial" w:hAnsi="Arial" w:cs="Arial"/>
          <w:sz w:val="19"/>
          <w:szCs w:val="19"/>
        </w:rPr>
      </w:pPr>
      <w:r>
        <w:rPr>
          <w:rFonts w:hint="default" w:ascii="Arial" w:hAnsi="Arial" w:cs="Arial"/>
          <w:sz w:val="19"/>
          <w:szCs w:val="19"/>
        </w:rPr>
        <w:t>17. DAS INFRAÇÕES ADMINISTRATIVAS E SANÇÕES</w:t>
      </w:r>
    </w:p>
    <w:p w14:paraId="2482A572">
      <w:pPr>
        <w:pStyle w:val="305"/>
        <w:spacing w:before="0" w:after="0" w:line="360" w:lineRule="auto"/>
        <w:ind w:left="0"/>
        <w:rPr>
          <w:rFonts w:hint="default" w:ascii="Arial" w:hAnsi="Arial" w:cs="Arial"/>
          <w:color w:val="auto"/>
          <w:sz w:val="19"/>
          <w:szCs w:val="19"/>
          <w:shd w:val="clear" w:color="auto" w:fill="FFFFFF"/>
        </w:rPr>
      </w:pPr>
      <w:bookmarkStart w:id="25" w:name="_Hlk114652595"/>
      <w:bookmarkStart w:id="26" w:name="_Ref114668085"/>
      <w:r>
        <w:rPr>
          <w:rFonts w:hint="default" w:ascii="Arial" w:hAnsi="Arial" w:cs="Arial"/>
          <w:color w:val="auto"/>
          <w:sz w:val="19"/>
          <w:szCs w:val="19"/>
        </w:rPr>
        <w:t xml:space="preserve">17.1 O licitante ou o contratado será responsabilizado administrativamente pelas seguintes infrações, conforme </w:t>
      </w:r>
      <w:r>
        <w:rPr>
          <w:rFonts w:hint="default" w:ascii="Arial" w:hAnsi="Arial" w:cs="Arial"/>
          <w:color w:val="auto"/>
          <w:sz w:val="19"/>
          <w:szCs w:val="19"/>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9"/>
          <w:szCs w:val="19"/>
        </w:rPr>
      </w:pPr>
      <w:r>
        <w:rPr>
          <w:rFonts w:hint="default" w:ascii="Arial" w:hAnsi="Arial" w:cs="Arial"/>
          <w:color w:val="auto"/>
          <w:sz w:val="19"/>
          <w:szCs w:val="19"/>
        </w:rPr>
        <w:t xml:space="preserve">17.2 Com fulcro na </w:t>
      </w:r>
      <w:r>
        <w:rPr>
          <w:rFonts w:hint="default" w:ascii="Arial" w:hAnsi="Arial" w:cs="Arial"/>
          <w:color w:val="auto"/>
          <w:sz w:val="19"/>
          <w:szCs w:val="19"/>
        </w:rPr>
        <w:fldChar w:fldCharType="begin"/>
      </w:r>
      <w:r>
        <w:rPr>
          <w:rFonts w:hint="default" w:ascii="Arial" w:hAnsi="Arial" w:cs="Arial"/>
          <w:color w:val="auto"/>
          <w:sz w:val="19"/>
          <w:szCs w:val="19"/>
        </w:rPr>
        <w:instrText xml:space="preserve"> HYPERLINK "http://www.planalto.gov.br/ccivil_03/_ato2019-2022/2021/lei/L14133.htm" </w:instrText>
      </w:r>
      <w:r>
        <w:rPr>
          <w:rFonts w:hint="default" w:ascii="Arial" w:hAnsi="Arial" w:cs="Arial"/>
          <w:color w:val="auto"/>
          <w:sz w:val="19"/>
          <w:szCs w:val="19"/>
        </w:rPr>
        <w:fldChar w:fldCharType="separate"/>
      </w:r>
      <w:r>
        <w:rPr>
          <w:rStyle w:val="12"/>
          <w:rFonts w:hint="default" w:ascii="Arial" w:hAnsi="Arial" w:cs="Arial"/>
          <w:color w:val="auto"/>
          <w:sz w:val="19"/>
          <w:szCs w:val="19"/>
        </w:rPr>
        <w:t>Lei nº 14.133, de 2021</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 xml:space="preserve">17.2.1 advertência; </w:t>
      </w:r>
    </w:p>
    <w:p w14:paraId="645B04AB">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17.2.2 multa;</w:t>
      </w:r>
    </w:p>
    <w:p w14:paraId="5E864490">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9"/>
          <w:szCs w:val="19"/>
        </w:rPr>
      </w:pPr>
      <w:r>
        <w:rPr>
          <w:rFonts w:hint="default" w:ascii="Arial" w:hAnsi="Arial" w:cs="Arial"/>
          <w:color w:val="auto"/>
          <w:sz w:val="19"/>
          <w:szCs w:val="19"/>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9"/>
          <w:szCs w:val="19"/>
        </w:rPr>
        <w:t>aplicou a penalidade.</w:t>
      </w:r>
    </w:p>
    <w:p w14:paraId="7BC46A5C">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17.2.5 na aplicação das sanções serão considerados:</w:t>
      </w:r>
    </w:p>
    <w:p w14:paraId="5D176075">
      <w:pPr>
        <w:pStyle w:val="306"/>
        <w:spacing w:before="0" w:after="0" w:line="360" w:lineRule="auto"/>
        <w:ind w:left="0"/>
        <w:rPr>
          <w:rFonts w:hint="default" w:ascii="Arial" w:hAnsi="Arial" w:cs="Arial"/>
          <w:sz w:val="19"/>
          <w:szCs w:val="19"/>
        </w:rPr>
      </w:pPr>
      <w:r>
        <w:rPr>
          <w:rFonts w:hint="default" w:ascii="Arial" w:hAnsi="Arial" w:cs="Arial"/>
          <w:sz w:val="19"/>
          <w:szCs w:val="19"/>
        </w:rPr>
        <w:t>17.2.6 a natureza e a gravidade da infração cometida;</w:t>
      </w:r>
    </w:p>
    <w:p w14:paraId="485566A5">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17.2.7 as peculiaridades do caso concreto;</w:t>
      </w:r>
    </w:p>
    <w:p w14:paraId="076431DD">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17.2.8 as circunstâncias agravantes ou atenuantes;</w:t>
      </w:r>
    </w:p>
    <w:p w14:paraId="1E92A1D7">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9"/>
          <w:szCs w:val="19"/>
        </w:rPr>
      </w:pPr>
      <w:r>
        <w:rPr>
          <w:rFonts w:hint="default" w:ascii="Arial" w:hAnsi="Arial" w:cs="Arial"/>
          <w:b w:val="0"/>
          <w:sz w:val="19"/>
          <w:szCs w:val="19"/>
        </w:rPr>
        <w:t>17.2.10 a implantação ou o aperfeiçoamento de programa de integridade</w:t>
      </w:r>
      <w:r>
        <w:rPr>
          <w:rFonts w:hint="default" w:ascii="Arial" w:hAnsi="Arial" w:cs="Arial"/>
          <w:sz w:val="19"/>
          <w:szCs w:val="19"/>
        </w:rPr>
        <w:t xml:space="preserve">, </w:t>
      </w:r>
      <w:r>
        <w:rPr>
          <w:rFonts w:hint="default" w:ascii="Arial" w:hAnsi="Arial" w:cs="Arial"/>
          <w:b w:val="0"/>
          <w:sz w:val="19"/>
          <w:szCs w:val="19"/>
        </w:rPr>
        <w:t>conforme normas e orientações dos órgãos de controle.</w:t>
      </w:r>
    </w:p>
    <w:p w14:paraId="161A59C4">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17.3 A sanção prevista no item 17.1 será aplicada exclusivamente pela infração administrativa prevista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 </w:instrText>
      </w:r>
      <w:r>
        <w:rPr>
          <w:rFonts w:hint="default" w:ascii="Arial" w:hAnsi="Arial" w:cs="Arial"/>
          <w:sz w:val="19"/>
          <w:szCs w:val="19"/>
        </w:rPr>
        <w:fldChar w:fldCharType="separate"/>
      </w:r>
      <w:r>
        <w:rPr>
          <w:rStyle w:val="12"/>
          <w:rFonts w:hint="default" w:ascii="Arial" w:hAnsi="Arial" w:cs="Arial"/>
          <w:color w:val="auto"/>
          <w:sz w:val="19"/>
          <w:szCs w:val="19"/>
        </w:rPr>
        <w:t>inciso I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14.133/21, quando não se justificar a imposição de penalidade mais grave.</w:t>
      </w:r>
    </w:p>
    <w:p w14:paraId="4018B8F3">
      <w:pPr>
        <w:pStyle w:val="305"/>
        <w:spacing w:before="0" w:after="0" w:line="360" w:lineRule="auto"/>
        <w:ind w:left="0"/>
        <w:rPr>
          <w:rFonts w:hint="default" w:ascii="Arial" w:hAnsi="Arial" w:cs="Arial"/>
          <w:sz w:val="19"/>
          <w:szCs w:val="19"/>
        </w:rPr>
      </w:pPr>
      <w:r>
        <w:rPr>
          <w:rFonts w:hint="default" w:ascii="Arial" w:hAnsi="Arial" w:cs="Arial"/>
          <w:color w:val="1D2228"/>
          <w:sz w:val="19"/>
          <w:szCs w:val="19"/>
          <w:shd w:val="clear" w:color="auto" w:fill="FFFFFF"/>
        </w:rPr>
        <w:t xml:space="preserve">17.3.1 </w:t>
      </w:r>
      <w:r>
        <w:rPr>
          <w:rFonts w:hint="default" w:ascii="Arial" w:hAnsi="Arial" w:cs="Arial"/>
          <w:sz w:val="19"/>
          <w:szCs w:val="19"/>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9"/>
          <w:szCs w:val="19"/>
        </w:rPr>
      </w:pPr>
      <w:r>
        <w:rPr>
          <w:rFonts w:hint="default" w:ascii="Arial" w:hAnsi="Arial" w:cs="Arial"/>
          <w:sz w:val="19"/>
          <w:szCs w:val="19"/>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9"/>
          <w:szCs w:val="19"/>
        </w:rPr>
      </w:pPr>
      <w:r>
        <w:rPr>
          <w:rFonts w:hint="default" w:ascii="Arial" w:hAnsi="Arial" w:cs="Arial"/>
          <w:sz w:val="19"/>
          <w:szCs w:val="19"/>
        </w:rPr>
        <w:t>17.3.3 dar causa à inexecução total do contrato; 20% do valor do contrato;</w:t>
      </w:r>
    </w:p>
    <w:p w14:paraId="1305D3E1">
      <w:pPr>
        <w:pStyle w:val="305"/>
        <w:spacing w:before="0" w:after="0" w:line="360" w:lineRule="auto"/>
        <w:ind w:left="0"/>
        <w:rPr>
          <w:rFonts w:hint="default" w:ascii="Arial" w:hAnsi="Arial" w:cs="Arial"/>
          <w:sz w:val="19"/>
          <w:szCs w:val="19"/>
        </w:rPr>
      </w:pPr>
      <w:r>
        <w:rPr>
          <w:rFonts w:hint="default" w:ascii="Arial" w:hAnsi="Arial" w:cs="Arial"/>
          <w:sz w:val="19"/>
          <w:szCs w:val="19"/>
        </w:rPr>
        <w:t>17.3.4 deixar de entregar a documentação exigida para o certame; 5% do valor do contrato;</w:t>
      </w:r>
    </w:p>
    <w:p w14:paraId="5E63A329">
      <w:pPr>
        <w:pStyle w:val="305"/>
        <w:spacing w:before="0" w:after="0" w:line="360" w:lineRule="auto"/>
        <w:ind w:left="0"/>
        <w:rPr>
          <w:rFonts w:hint="default" w:ascii="Arial" w:hAnsi="Arial" w:cs="Arial"/>
          <w:sz w:val="19"/>
          <w:szCs w:val="19"/>
        </w:rPr>
      </w:pPr>
      <w:r>
        <w:rPr>
          <w:rFonts w:hint="default" w:ascii="Arial" w:hAnsi="Arial" w:cs="Arial"/>
          <w:sz w:val="19"/>
          <w:szCs w:val="19"/>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9"/>
          <w:szCs w:val="19"/>
        </w:rPr>
      </w:pPr>
      <w:r>
        <w:rPr>
          <w:rFonts w:hint="default" w:ascii="Arial" w:hAnsi="Arial" w:cs="Arial"/>
          <w:sz w:val="19"/>
          <w:szCs w:val="19"/>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9"/>
          <w:szCs w:val="19"/>
        </w:rPr>
      </w:pPr>
      <w:r>
        <w:rPr>
          <w:rFonts w:hint="default" w:ascii="Arial" w:hAnsi="Arial" w:cs="Arial"/>
          <w:sz w:val="19"/>
          <w:szCs w:val="19"/>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9"/>
          <w:szCs w:val="19"/>
        </w:rPr>
      </w:pPr>
      <w:r>
        <w:rPr>
          <w:rFonts w:hint="default" w:ascii="Arial" w:hAnsi="Arial" w:cs="Arial"/>
          <w:sz w:val="19"/>
          <w:szCs w:val="19"/>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9"/>
          <w:szCs w:val="19"/>
        </w:rPr>
      </w:pPr>
      <w:r>
        <w:rPr>
          <w:rFonts w:hint="default" w:ascii="Arial" w:hAnsi="Arial" w:cs="Arial"/>
          <w:sz w:val="19"/>
          <w:szCs w:val="19"/>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17.3.10 comportar-se de modo inidôneo ou cometer fraude de qualquer natureza; </w:t>
      </w:r>
      <w:r>
        <w:rPr>
          <w:rFonts w:hint="default" w:ascii="Arial" w:hAnsi="Arial" w:cs="Arial"/>
          <w:b/>
          <w:sz w:val="19"/>
          <w:szCs w:val="19"/>
        </w:rPr>
        <w:t>30% do valor    do contrato;</w:t>
      </w:r>
    </w:p>
    <w:p w14:paraId="0E7BF69B">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17.3.11 praticar atos ilícitos com vistas a frustrar os objetivos da licitação; </w:t>
      </w:r>
      <w:r>
        <w:rPr>
          <w:rFonts w:hint="default" w:ascii="Arial" w:hAnsi="Arial" w:cs="Arial"/>
          <w:b/>
          <w:sz w:val="19"/>
          <w:szCs w:val="19"/>
        </w:rPr>
        <w:t>30% do valor do contrato;</w:t>
      </w:r>
      <w:bookmarkStart w:id="27" w:name="art155viii"/>
      <w:bookmarkEnd w:id="27"/>
      <w:bookmarkStart w:id="28" w:name="art155iv"/>
      <w:bookmarkEnd w:id="28"/>
      <w:bookmarkStart w:id="29" w:name="art155v"/>
      <w:bookmarkEnd w:id="29"/>
      <w:bookmarkStart w:id="30" w:name="art155vii"/>
      <w:bookmarkEnd w:id="30"/>
      <w:bookmarkStart w:id="31" w:name="art155ix"/>
      <w:bookmarkEnd w:id="31"/>
      <w:bookmarkStart w:id="32" w:name="art155vi"/>
      <w:bookmarkEnd w:id="32"/>
      <w:bookmarkStart w:id="33" w:name="art155x"/>
      <w:bookmarkEnd w:id="33"/>
      <w:bookmarkStart w:id="34" w:name="art155iii"/>
      <w:bookmarkEnd w:id="34"/>
      <w:bookmarkStart w:id="35" w:name="art155ii"/>
      <w:bookmarkEnd w:id="35"/>
    </w:p>
    <w:p w14:paraId="3FB8330A">
      <w:pPr>
        <w:pStyle w:val="305"/>
        <w:spacing w:before="0" w:after="0" w:line="360" w:lineRule="auto"/>
        <w:ind w:left="0"/>
        <w:rPr>
          <w:rFonts w:hint="default" w:ascii="Arial" w:hAnsi="Arial" w:cs="Arial"/>
          <w:sz w:val="19"/>
          <w:szCs w:val="19"/>
        </w:rPr>
      </w:pPr>
      <w:r>
        <w:rPr>
          <w:rFonts w:hint="default" w:ascii="Arial" w:hAnsi="Arial" w:cs="Arial"/>
          <w:sz w:val="19"/>
          <w:szCs w:val="19"/>
        </w:rPr>
        <w:t>17.3.12 praticar ato lesivo previsto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"https://www.planalto.gov.br/ccivil_03/_Ato2011-2014/2013/Lei/L12846.htm" \l "art5" </w:instrText>
      </w:r>
      <w:r>
        <w:rPr>
          <w:rFonts w:hint="default" w:ascii="Arial" w:hAnsi="Arial" w:cs="Arial"/>
          <w:sz w:val="19"/>
          <w:szCs w:val="19"/>
        </w:rPr>
        <w:fldChar w:fldCharType="separate"/>
      </w:r>
      <w:r>
        <w:rPr>
          <w:rStyle w:val="12"/>
          <w:rFonts w:hint="default" w:ascii="Arial" w:hAnsi="Arial" w:cs="Arial"/>
          <w:color w:val="auto"/>
          <w:sz w:val="19"/>
          <w:szCs w:val="19"/>
        </w:rPr>
        <w:t>art. 5º da Lei nº 12.846, de 1º de agosto de 2013.</w:t>
      </w:r>
      <w:r>
        <w:rPr>
          <w:rStyle w:val="12"/>
          <w:rFonts w:hint="default" w:ascii="Arial" w:hAnsi="Arial" w:cs="Arial"/>
          <w:color w:val="auto"/>
          <w:sz w:val="19"/>
          <w:szCs w:val="19"/>
        </w:rPr>
        <w:fldChar w:fldCharType="end"/>
      </w:r>
      <w:r>
        <w:rPr>
          <w:rFonts w:hint="default" w:ascii="Arial" w:hAnsi="Arial" w:cs="Arial"/>
          <w:sz w:val="19"/>
          <w:szCs w:val="19"/>
        </w:rPr>
        <w:t xml:space="preserve"> 30% do valor do contrato;</w:t>
      </w:r>
      <w:bookmarkEnd w:id="25"/>
      <w:bookmarkEnd w:id="26"/>
    </w:p>
    <w:p w14:paraId="603E051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 A sanção prevista no item 17.3.2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"art155ii" </w:instrText>
      </w:r>
      <w:r>
        <w:rPr>
          <w:rFonts w:hint="default" w:ascii="Arial" w:hAnsi="Arial" w:cs="Arial"/>
          <w:sz w:val="19"/>
          <w:szCs w:val="19"/>
        </w:rPr>
        <w:fldChar w:fldCharType="separate"/>
      </w:r>
      <w:r>
        <w:rPr>
          <w:rStyle w:val="12"/>
          <w:rFonts w:hint="default" w:ascii="Arial" w:hAnsi="Arial" w:cs="Arial"/>
          <w:color w:val="auto"/>
          <w:sz w:val="19"/>
          <w:szCs w:val="19"/>
        </w:rPr>
        <w:t>incisos 17.3.1, 17.3.2, 17.3.3, 17.3.4, 17.3.5 e 17.3.6,</w:t>
      </w:r>
      <w:r>
        <w:rPr>
          <w:rStyle w:val="12"/>
          <w:rFonts w:hint="default" w:ascii="Arial" w:hAnsi="Arial" w:cs="Arial"/>
          <w:color w:val="auto"/>
          <w:sz w:val="19"/>
          <w:szCs w:val="19"/>
        </w:rPr>
        <w:fldChar w:fldCharType="end"/>
      </w:r>
      <w:r>
        <w:rPr>
          <w:rFonts w:hint="default" w:ascii="Arial" w:hAnsi="Arial" w:cs="Arial"/>
          <w:color w:val="auto"/>
          <w:sz w:val="19"/>
          <w:szCs w:val="19"/>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17.4.1 A sanção prevista no item 17.3.4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"art155viii" </w:instrText>
      </w:r>
      <w:r>
        <w:rPr>
          <w:rFonts w:hint="default" w:ascii="Arial" w:hAnsi="Arial" w:cs="Arial"/>
          <w:sz w:val="19"/>
          <w:szCs w:val="19"/>
        </w:rPr>
        <w:fldChar w:fldCharType="separate"/>
      </w:r>
      <w:r>
        <w:rPr>
          <w:rStyle w:val="12"/>
          <w:rFonts w:hint="default" w:ascii="Arial" w:hAnsi="Arial" w:cs="Arial"/>
          <w:color w:val="auto"/>
          <w:sz w:val="19"/>
          <w:szCs w:val="19"/>
        </w:rPr>
        <w:t>incisos 17.3.8, 17.3.9, 17.3.10, 17.3.11 e 17.3.12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 14.133/21</w:t>
      </w:r>
      <w:r>
        <w:rPr>
          <w:rStyle w:val="12"/>
          <w:rFonts w:hint="default" w:ascii="Arial" w:hAnsi="Arial" w:cs="Arial"/>
          <w:color w:val="auto"/>
          <w:sz w:val="19"/>
          <w:szCs w:val="19"/>
        </w:rPr>
        <w:fldChar w:fldCharType="end"/>
      </w:r>
      <w:r>
        <w:rPr>
          <w:rFonts w:hint="default" w:ascii="Arial" w:hAnsi="Arial" w:cs="Arial"/>
          <w:color w:val="auto"/>
          <w:sz w:val="19"/>
          <w:szCs w:val="19"/>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9"/>
          <w:szCs w:val="19"/>
        </w:rPr>
      </w:pPr>
      <w:r>
        <w:rPr>
          <w:rFonts w:hint="default" w:ascii="Arial" w:hAnsi="Arial" w:cs="Arial"/>
          <w:color w:val="auto"/>
          <w:sz w:val="19"/>
          <w:szCs w:val="19"/>
        </w:rPr>
        <w:t xml:space="preserve">17.4.2.1 quando aplicada por órgão do Poder Executivo, será de competência da autoridade competente. </w:t>
      </w:r>
      <w:r>
        <w:rPr>
          <w:rFonts w:hint="default" w:ascii="Arial" w:hAnsi="Arial" w:cs="Arial"/>
          <w:b w:val="0"/>
          <w:sz w:val="19"/>
          <w:szCs w:val="19"/>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9"/>
          <w:szCs w:val="19"/>
        </w:rPr>
      </w:pPr>
      <w:r>
        <w:rPr>
          <w:rFonts w:hint="default" w:ascii="Arial" w:hAnsi="Arial" w:cs="Arial"/>
          <w:b w:val="0"/>
          <w:sz w:val="19"/>
          <w:szCs w:val="19"/>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9"/>
          <w:szCs w:val="19"/>
        </w:rPr>
      </w:pPr>
      <w:bookmarkStart w:id="36" w:name="art156§6ii"/>
      <w:bookmarkEnd w:id="36"/>
      <w:bookmarkStart w:id="37" w:name="art156§6"/>
      <w:bookmarkEnd w:id="37"/>
      <w:bookmarkStart w:id="38" w:name="art156§5"/>
      <w:bookmarkEnd w:id="38"/>
      <w:bookmarkStart w:id="39" w:name="art156§4"/>
      <w:bookmarkEnd w:id="39"/>
      <w:bookmarkStart w:id="40" w:name="art156§3"/>
      <w:bookmarkEnd w:id="40"/>
      <w:bookmarkStart w:id="41" w:name="art156§7"/>
      <w:bookmarkEnd w:id="41"/>
      <w:r>
        <w:rPr>
          <w:rFonts w:hint="default" w:ascii="Arial" w:hAnsi="Arial" w:cs="Arial"/>
          <w:color w:val="auto"/>
          <w:sz w:val="19"/>
          <w:szCs w:val="19"/>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9"/>
          <w:szCs w:val="19"/>
        </w:rPr>
      </w:pPr>
      <w:r>
        <w:rPr>
          <w:rFonts w:hint="default" w:ascii="Arial" w:hAnsi="Arial" w:cs="Arial"/>
          <w:color w:val="auto"/>
          <w:sz w:val="19"/>
          <w:szCs w:val="19"/>
        </w:rPr>
        <w:t>17.5 As infrações e sanções deverão ser apuradas por uma comissão processante nomeada para as atribuições.</w:t>
      </w:r>
      <w:bookmarkStart w:id="42" w:name="_Toc122606112"/>
    </w:p>
    <w:p w14:paraId="626241B4">
      <w:pPr>
        <w:pStyle w:val="304"/>
        <w:spacing w:before="0" w:after="0" w:line="240" w:lineRule="auto"/>
        <w:rPr>
          <w:rFonts w:hint="default" w:ascii="Arial" w:hAnsi="Arial" w:cs="Arial"/>
          <w:color w:val="auto"/>
          <w:sz w:val="19"/>
          <w:szCs w:val="19"/>
        </w:rPr>
      </w:pPr>
    </w:p>
    <w:p w14:paraId="54255700">
      <w:pPr>
        <w:pStyle w:val="304"/>
        <w:numPr>
          <w:ilvl w:val="0"/>
          <w:numId w:val="16"/>
        </w:numPr>
        <w:spacing w:before="0" w:after="0" w:line="360" w:lineRule="auto"/>
        <w:rPr>
          <w:rFonts w:hint="default" w:ascii="Arial" w:hAnsi="Arial" w:cs="Arial"/>
          <w:b/>
          <w:bCs/>
          <w:sz w:val="19"/>
          <w:szCs w:val="19"/>
        </w:rPr>
      </w:pPr>
      <w:r>
        <w:rPr>
          <w:rFonts w:hint="default" w:ascii="Arial" w:hAnsi="Arial" w:cs="Arial"/>
          <w:b/>
          <w:bCs/>
          <w:sz w:val="19"/>
          <w:szCs w:val="19"/>
        </w:rPr>
        <w:t>DA IMPUGNAÇÃO AO EDITAL E DO PEDIDO DE ESCLARECIMENTO</w:t>
      </w:r>
      <w:bookmarkEnd w:id="42"/>
    </w:p>
    <w:p w14:paraId="09EEFA96">
      <w:pPr>
        <w:pStyle w:val="304"/>
        <w:tabs>
          <w:tab w:val="left" w:pos="0"/>
        </w:tabs>
        <w:spacing w:before="0" w:after="0" w:line="360" w:lineRule="auto"/>
        <w:rPr>
          <w:rFonts w:hint="default" w:ascii="Arial" w:hAnsi="Arial" w:cs="Arial"/>
          <w:sz w:val="19"/>
          <w:szCs w:val="19"/>
        </w:rPr>
      </w:pPr>
      <w:r>
        <w:rPr>
          <w:rFonts w:hint="default" w:ascii="Arial" w:hAnsi="Arial" w:cs="Arial"/>
          <w:sz w:val="19"/>
          <w:szCs w:val="19"/>
        </w:rPr>
        <w:t xml:space="preserve">18.1 Qualquer pessoa é parte legítima para impugnar este Edital por irregularidade na aplicação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 de 2021</w:t>
      </w:r>
      <w:r>
        <w:rPr>
          <w:rStyle w:val="12"/>
          <w:rFonts w:hint="default" w:ascii="Arial" w:hAnsi="Arial" w:cs="Arial"/>
          <w:sz w:val="19"/>
          <w:szCs w:val="19"/>
        </w:rPr>
        <w:fldChar w:fldCharType="end"/>
      </w:r>
      <w:r>
        <w:rPr>
          <w:rFonts w:hint="default" w:ascii="Arial" w:hAnsi="Arial" w:cs="Arial"/>
          <w:sz w:val="19"/>
          <w:szCs w:val="19"/>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9"/>
          <w:szCs w:val="19"/>
        </w:rPr>
      </w:pPr>
      <w:r>
        <w:rPr>
          <w:rFonts w:hint="default" w:ascii="Arial" w:hAnsi="Arial" w:cs="Arial"/>
          <w:sz w:val="19"/>
          <w:szCs w:val="19"/>
        </w:rPr>
        <w:t xml:space="preserve">18.3 A impugnação e o pedido de esclarecimento poderão ser realizados por </w:t>
      </w:r>
      <w:r>
        <w:rPr>
          <w:rFonts w:hint="default" w:ascii="Arial" w:hAnsi="Arial" w:cs="Arial"/>
          <w:iCs/>
          <w:color w:val="auto"/>
          <w:sz w:val="19"/>
          <w:szCs w:val="19"/>
        </w:rPr>
        <w:t>meio de endereço eletrônico: pregaocataguases@gmail.com</w:t>
      </w:r>
    </w:p>
    <w:p w14:paraId="149ADFEA">
      <w:pPr>
        <w:pStyle w:val="304"/>
        <w:tabs>
          <w:tab w:val="left" w:pos="567"/>
        </w:tabs>
        <w:spacing w:before="0" w:after="0" w:line="360" w:lineRule="auto"/>
        <w:rPr>
          <w:rFonts w:hint="default" w:ascii="Arial" w:hAnsi="Arial" w:cs="Arial"/>
          <w:sz w:val="19"/>
          <w:szCs w:val="19"/>
        </w:rPr>
      </w:pPr>
      <w:r>
        <w:rPr>
          <w:rFonts w:hint="default" w:ascii="Arial" w:hAnsi="Arial" w:cs="Arial"/>
          <w:sz w:val="19"/>
          <w:szCs w:val="19"/>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9"/>
          <w:szCs w:val="19"/>
        </w:rPr>
      </w:pPr>
      <w:r>
        <w:rPr>
          <w:rFonts w:hint="default" w:ascii="Arial" w:hAnsi="Arial" w:cs="Arial"/>
          <w:sz w:val="19"/>
          <w:szCs w:val="19"/>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18.6 Acolhida a impugnação, será definida e publicada nova data para a realização do certame.</w:t>
      </w:r>
    </w:p>
    <w:p w14:paraId="0F9161D9">
      <w:pPr>
        <w:pStyle w:val="279"/>
        <w:numPr>
          <w:ilvl w:val="0"/>
          <w:numId w:val="0"/>
        </w:numPr>
        <w:spacing w:before="0"/>
        <w:rPr>
          <w:rFonts w:hint="default" w:ascii="Arial" w:hAnsi="Arial" w:cs="Arial"/>
          <w:sz w:val="19"/>
          <w:szCs w:val="19"/>
        </w:rPr>
      </w:pPr>
      <w:bookmarkStart w:id="43" w:name="_Toc135469236"/>
    </w:p>
    <w:p w14:paraId="1F75FFC9">
      <w:pPr>
        <w:pStyle w:val="279"/>
        <w:numPr>
          <w:ilvl w:val="0"/>
          <w:numId w:val="0"/>
        </w:numPr>
        <w:spacing w:before="0" w:line="360" w:lineRule="auto"/>
        <w:rPr>
          <w:rFonts w:hint="default" w:ascii="Arial" w:hAnsi="Arial" w:cs="Arial"/>
          <w:sz w:val="19"/>
          <w:szCs w:val="19"/>
        </w:rPr>
      </w:pPr>
      <w:r>
        <w:rPr>
          <w:rFonts w:hint="default" w:ascii="Arial" w:hAnsi="Arial" w:cs="Arial"/>
          <w:sz w:val="19"/>
          <w:szCs w:val="19"/>
        </w:rPr>
        <w:t>19. DAS DISPOSIÇÕES GERAIS</w:t>
      </w:r>
      <w:bookmarkEnd w:id="43"/>
    </w:p>
    <w:p w14:paraId="171B9600">
      <w:pPr>
        <w:pStyle w:val="304"/>
        <w:spacing w:before="0" w:after="0" w:line="360" w:lineRule="auto"/>
        <w:rPr>
          <w:rFonts w:hint="default" w:ascii="Arial" w:hAnsi="Arial" w:cs="Arial"/>
          <w:sz w:val="19"/>
          <w:szCs w:val="19"/>
        </w:rPr>
      </w:pPr>
      <w:r>
        <w:rPr>
          <w:rFonts w:hint="default" w:ascii="Arial" w:hAnsi="Arial" w:cs="Arial"/>
          <w:sz w:val="19"/>
          <w:szCs w:val="19"/>
          <w:lang w:eastAsia="ar-SA"/>
        </w:rPr>
        <w:t>19.1</w:t>
      </w:r>
      <w:r>
        <w:rPr>
          <w:rFonts w:hint="default" w:ascii="Arial" w:hAnsi="Arial" w:cs="Arial"/>
          <w:sz w:val="19"/>
          <w:szCs w:val="19"/>
        </w:rPr>
        <w:t xml:space="preserve"> Será divulgada ata da sessão pública no sistema eletrônico.</w:t>
      </w:r>
    </w:p>
    <w:p w14:paraId="3EA63C70">
      <w:pPr>
        <w:pStyle w:val="304"/>
        <w:spacing w:before="0" w:after="0" w:line="360" w:lineRule="auto"/>
        <w:rPr>
          <w:rFonts w:hint="default" w:ascii="Arial" w:hAnsi="Arial" w:cs="Arial"/>
          <w:sz w:val="19"/>
          <w:szCs w:val="19"/>
        </w:rPr>
      </w:pPr>
      <w:r>
        <w:rPr>
          <w:rFonts w:hint="default" w:ascii="Arial" w:hAnsi="Arial" w:cs="Arial"/>
          <w:sz w:val="19"/>
          <w:szCs w:val="19"/>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9"/>
          <w:szCs w:val="19"/>
        </w:rPr>
      </w:pPr>
      <w:r>
        <w:rPr>
          <w:rFonts w:hint="default" w:ascii="Arial" w:hAnsi="Arial" w:cs="Arial"/>
          <w:sz w:val="19"/>
          <w:szCs w:val="19"/>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9"/>
          <w:szCs w:val="19"/>
        </w:rPr>
      </w:pPr>
      <w:r>
        <w:rPr>
          <w:rFonts w:hint="default" w:ascii="Arial" w:hAnsi="Arial" w:cs="Arial"/>
          <w:sz w:val="19"/>
          <w:szCs w:val="19"/>
        </w:rPr>
        <w:t>19.3 A homologação do resultado desta licitação não implicará direito à contratação.</w:t>
      </w:r>
    </w:p>
    <w:p w14:paraId="7CDDA657">
      <w:pPr>
        <w:pStyle w:val="304"/>
        <w:spacing w:before="0" w:after="0" w:line="360" w:lineRule="auto"/>
        <w:rPr>
          <w:rFonts w:hint="default" w:ascii="Arial" w:hAnsi="Arial" w:cs="Arial"/>
          <w:sz w:val="19"/>
          <w:szCs w:val="19"/>
        </w:rPr>
      </w:pPr>
      <w:r>
        <w:rPr>
          <w:rFonts w:hint="default" w:ascii="Arial" w:hAnsi="Arial" w:cs="Arial"/>
          <w:sz w:val="19"/>
          <w:szCs w:val="19"/>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9"/>
          <w:szCs w:val="19"/>
        </w:rPr>
      </w:pPr>
      <w:r>
        <w:rPr>
          <w:rFonts w:hint="default" w:ascii="Arial" w:hAnsi="Arial" w:cs="Arial"/>
          <w:sz w:val="19"/>
          <w:szCs w:val="19"/>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9"/>
          <w:szCs w:val="19"/>
        </w:rPr>
      </w:pPr>
      <w:r>
        <w:rPr>
          <w:rFonts w:hint="default" w:ascii="Arial" w:hAnsi="Arial" w:cs="Arial"/>
          <w:sz w:val="19"/>
          <w:szCs w:val="19"/>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9"/>
          <w:szCs w:val="19"/>
        </w:rPr>
      </w:pPr>
      <w:r>
        <w:rPr>
          <w:rFonts w:hint="default" w:ascii="Arial" w:hAnsi="Arial" w:cs="Arial"/>
          <w:sz w:val="19"/>
          <w:szCs w:val="19"/>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 xml:space="preserve">19.9 O Edital e seus anexos estão disponíveis, na íntegra, no Portal Nacional de Contratações Públicas (PNCP) e endereço eletrônico </w:t>
      </w:r>
      <w:r>
        <w:rPr>
          <w:rFonts w:hint="default" w:ascii="Arial" w:hAnsi="Arial" w:cs="Arial"/>
          <w:sz w:val="19"/>
          <w:szCs w:val="19"/>
        </w:rPr>
        <w:fldChar w:fldCharType="begin"/>
      </w:r>
      <w:r>
        <w:rPr>
          <w:rFonts w:hint="default" w:ascii="Arial" w:hAnsi="Arial" w:cs="Arial"/>
          <w:sz w:val="19"/>
          <w:szCs w:val="19"/>
        </w:rPr>
        <w:instrText xml:space="preserve"> HYPERLINK "http://www.compras.gov.br" </w:instrText>
      </w:r>
      <w:r>
        <w:rPr>
          <w:rFonts w:hint="default" w:ascii="Arial" w:hAnsi="Arial" w:cs="Arial"/>
          <w:sz w:val="19"/>
          <w:szCs w:val="19"/>
        </w:rPr>
        <w:fldChar w:fldCharType="separate"/>
      </w:r>
      <w:r>
        <w:rPr>
          <w:rStyle w:val="12"/>
          <w:rFonts w:hint="default" w:ascii="Arial" w:hAnsi="Arial" w:cs="Arial"/>
          <w:sz w:val="19"/>
          <w:szCs w:val="19"/>
        </w:rPr>
        <w:t>www.compras.gov.br</w:t>
      </w:r>
      <w:r>
        <w:rPr>
          <w:rStyle w:val="12"/>
          <w:rFonts w:hint="default" w:ascii="Arial" w:hAnsi="Arial" w:cs="Arial"/>
          <w:sz w:val="19"/>
          <w:szCs w:val="19"/>
        </w:rPr>
        <w:fldChar w:fldCharType="end"/>
      </w:r>
      <w:r>
        <w:rPr>
          <w:rFonts w:hint="default" w:ascii="Arial" w:hAnsi="Arial" w:cs="Arial"/>
          <w:sz w:val="19"/>
          <w:szCs w:val="19"/>
        </w:rPr>
        <w:t xml:space="preserve"> e www.cataguases.mg.gov.br</w:t>
      </w:r>
    </w:p>
    <w:p w14:paraId="4A2E36BD">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19.10 Integram este Edital, para todos os fins e efeitos, os seguintes anexos:</w:t>
      </w:r>
    </w:p>
    <w:p w14:paraId="23EF5819">
      <w:pPr>
        <w:pStyle w:val="305"/>
        <w:spacing w:before="0" w:after="0" w:line="240" w:lineRule="auto"/>
        <w:ind w:left="0"/>
        <w:rPr>
          <w:rFonts w:hint="default" w:ascii="Arial" w:hAnsi="Arial" w:cs="Arial"/>
          <w:sz w:val="19"/>
          <w:szCs w:val="19"/>
        </w:rPr>
      </w:pPr>
      <w:bookmarkStart w:id="44" w:name="_Hlk158877578"/>
      <w:r>
        <w:rPr>
          <w:rFonts w:hint="default" w:ascii="Arial" w:hAnsi="Arial" w:cs="Arial"/>
          <w:sz w:val="19"/>
          <w:szCs w:val="19"/>
        </w:rPr>
        <w:t>Anexo I - Termo de Referência</w:t>
      </w:r>
    </w:p>
    <w:p w14:paraId="68E3E9EC">
      <w:pPr>
        <w:pStyle w:val="306"/>
        <w:spacing w:before="0" w:after="0" w:line="240" w:lineRule="auto"/>
        <w:ind w:left="0"/>
        <w:rPr>
          <w:rFonts w:hint="default" w:ascii="Arial" w:hAnsi="Arial" w:cs="Arial"/>
          <w:sz w:val="19"/>
          <w:szCs w:val="19"/>
        </w:rPr>
      </w:pPr>
      <w:r>
        <w:rPr>
          <w:rFonts w:hint="default" w:ascii="Arial" w:hAnsi="Arial" w:cs="Arial"/>
          <w:sz w:val="19"/>
          <w:szCs w:val="19"/>
        </w:rPr>
        <w:t>Anexo II - Modelo de proposta de preços;</w:t>
      </w:r>
    </w:p>
    <w:p w14:paraId="18F6584B">
      <w:pPr>
        <w:pStyle w:val="305"/>
        <w:spacing w:before="0" w:after="0" w:line="240" w:lineRule="auto"/>
        <w:ind w:left="0"/>
        <w:rPr>
          <w:rFonts w:hint="default" w:ascii="Arial" w:hAnsi="Arial" w:cs="Arial"/>
          <w:sz w:val="19"/>
          <w:szCs w:val="19"/>
        </w:rPr>
      </w:pPr>
      <w:r>
        <w:rPr>
          <w:rFonts w:hint="default" w:ascii="Arial" w:hAnsi="Arial" w:cs="Arial"/>
          <w:sz w:val="19"/>
          <w:szCs w:val="19"/>
        </w:rPr>
        <w:t>Anexo III – Minuta de Termo de Contrato/Ata de registro de preços</w:t>
      </w:r>
    </w:p>
    <w:p w14:paraId="53800AFB">
      <w:pPr>
        <w:pStyle w:val="305"/>
        <w:spacing w:before="0" w:after="0" w:line="24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01F69F76">
      <w:pPr>
        <w:pStyle w:val="305"/>
        <w:spacing w:before="0" w:after="0" w:line="24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2034F96A">
      <w:pPr>
        <w:pStyle w:val="305"/>
        <w:spacing w:before="0" w:after="0" w:line="24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31A07A5D">
      <w:pPr>
        <w:pStyle w:val="305"/>
        <w:spacing w:before="0" w:after="0" w:line="24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246CA815">
      <w:pPr>
        <w:pStyle w:val="305"/>
        <w:spacing w:before="0" w:after="0" w:line="24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66437594">
      <w:pPr>
        <w:pStyle w:val="305"/>
        <w:spacing w:before="0" w:after="0" w:line="24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0251105A">
      <w:pPr>
        <w:pStyle w:val="305"/>
        <w:spacing w:before="0" w:after="0" w:line="240" w:lineRule="auto"/>
        <w:ind w:left="0"/>
        <w:rPr>
          <w:rFonts w:hint="default" w:ascii="Arial" w:hAnsi="Arial" w:cs="Arial"/>
          <w:sz w:val="19"/>
          <w:szCs w:val="19"/>
        </w:rPr>
      </w:pPr>
      <w:r>
        <w:rPr>
          <w:rFonts w:hint="default" w:ascii="Arial" w:hAnsi="Arial" w:cs="Arial"/>
          <w:sz w:val="19"/>
          <w:szCs w:val="19"/>
        </w:rPr>
        <w:t>Anexo X - MODELO DE DECLARAÇÃO SANÇÕES VIGENTES</w:t>
      </w:r>
    </w:p>
    <w:bookmarkEnd w:id="44"/>
    <w:p w14:paraId="1AB169D6">
      <w:pPr>
        <w:pStyle w:val="305"/>
        <w:spacing w:before="0" w:after="0" w:line="24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13FC2CE7">
      <w:pPr>
        <w:pStyle w:val="305"/>
        <w:spacing w:before="0" w:after="0" w:line="240" w:lineRule="auto"/>
        <w:ind w:left="0"/>
        <w:rPr>
          <w:rFonts w:hint="default" w:ascii="Arial" w:hAnsi="Arial" w:cs="Arial"/>
          <w:sz w:val="19"/>
          <w:szCs w:val="19"/>
        </w:rPr>
      </w:pPr>
      <w:r>
        <w:rPr>
          <w:rFonts w:hint="default" w:ascii="Arial" w:hAnsi="Arial" w:cs="Arial"/>
          <w:sz w:val="19"/>
          <w:szCs w:val="19"/>
        </w:rPr>
        <w:t xml:space="preserve">Anexo XII </w:t>
      </w:r>
      <w:r>
        <w:rPr>
          <w:rFonts w:hint="default" w:ascii="Arial" w:hAnsi="Arial" w:cs="Arial"/>
          <w:sz w:val="19"/>
          <w:szCs w:val="19"/>
          <w:lang w:val="pt-BR"/>
        </w:rPr>
        <w:t xml:space="preserve">- </w:t>
      </w:r>
      <w:r>
        <w:rPr>
          <w:rFonts w:hint="default" w:ascii="Arial" w:hAnsi="Arial" w:cs="Arial"/>
          <w:sz w:val="19"/>
          <w:szCs w:val="19"/>
        </w:rPr>
        <w:t>Cotação de preços/Mapa analítico</w:t>
      </w:r>
    </w:p>
    <w:p w14:paraId="553D83D4">
      <w:pPr>
        <w:pStyle w:val="305"/>
        <w:spacing w:before="0" w:after="0" w:line="240" w:lineRule="auto"/>
        <w:ind w:left="0"/>
        <w:rPr>
          <w:rFonts w:hint="default" w:ascii="Arial" w:hAnsi="Arial" w:cs="Arial"/>
          <w:sz w:val="19"/>
          <w:szCs w:val="19"/>
        </w:rPr>
      </w:pPr>
      <w:r>
        <w:rPr>
          <w:rFonts w:hint="default" w:ascii="Arial" w:hAnsi="Arial" w:cs="Arial"/>
          <w:sz w:val="19"/>
          <w:szCs w:val="19"/>
        </w:rPr>
        <w:t>Anexo XII</w:t>
      </w:r>
      <w:r>
        <w:rPr>
          <w:rFonts w:hint="default" w:ascii="Arial" w:hAnsi="Arial" w:cs="Arial"/>
          <w:sz w:val="19"/>
          <w:szCs w:val="19"/>
          <w:lang w:val="pt-BR"/>
        </w:rPr>
        <w:t>I</w:t>
      </w:r>
      <w:r>
        <w:rPr>
          <w:rFonts w:hint="default" w:ascii="Arial" w:hAnsi="Arial" w:cs="Arial"/>
          <w:sz w:val="19"/>
          <w:szCs w:val="19"/>
        </w:rPr>
        <w:t xml:space="preserve"> - Estudo técnico preliminar (ETP)</w:t>
      </w:r>
    </w:p>
    <w:p w14:paraId="470C3415">
      <w:pPr>
        <w:pStyle w:val="305"/>
        <w:spacing w:before="0" w:after="0" w:line="240" w:lineRule="auto"/>
        <w:ind w:left="0"/>
        <w:rPr>
          <w:rFonts w:hint="default" w:ascii="Arial" w:hAnsi="Arial" w:cs="Arial"/>
          <w:sz w:val="19"/>
          <w:szCs w:val="19"/>
        </w:rPr>
      </w:pPr>
      <w:r>
        <w:rPr>
          <w:rFonts w:hint="default" w:ascii="Arial" w:hAnsi="Arial" w:cs="Arial"/>
          <w:sz w:val="19"/>
          <w:szCs w:val="19"/>
        </w:rPr>
        <w:t>Anexo X</w:t>
      </w:r>
      <w:r>
        <w:rPr>
          <w:rFonts w:hint="default" w:ascii="Arial" w:hAnsi="Arial" w:cs="Arial"/>
          <w:sz w:val="19"/>
          <w:szCs w:val="19"/>
          <w:lang w:val="pt-BR"/>
        </w:rPr>
        <w:t>IV</w:t>
      </w:r>
      <w:r>
        <w:rPr>
          <w:rFonts w:hint="default" w:ascii="Arial" w:hAnsi="Arial" w:cs="Arial"/>
          <w:sz w:val="19"/>
          <w:szCs w:val="19"/>
        </w:rPr>
        <w:t xml:space="preserve"> - Decreto 5.811/2023 (IR)</w:t>
      </w:r>
    </w:p>
    <w:p w14:paraId="2DA6CA6A">
      <w:pPr>
        <w:pStyle w:val="305"/>
        <w:spacing w:before="0" w:after="0" w:line="240" w:lineRule="auto"/>
        <w:ind w:left="0"/>
        <w:rPr>
          <w:rFonts w:hint="default" w:ascii="Arial" w:hAnsi="Arial" w:cs="Arial"/>
          <w:sz w:val="19"/>
          <w:szCs w:val="19"/>
        </w:rPr>
      </w:pPr>
      <w:r>
        <w:rPr>
          <w:rFonts w:hint="default" w:ascii="Arial" w:hAnsi="Arial" w:cs="Arial"/>
          <w:sz w:val="19"/>
          <w:szCs w:val="19"/>
        </w:rPr>
        <w:t>Anexo XV - Termo de referência e demandas</w:t>
      </w:r>
    </w:p>
    <w:p w14:paraId="2BF06ED6">
      <w:pPr>
        <w:pStyle w:val="305"/>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ascii="Arial" w:hAnsi="Arial" w:cs="Arial"/>
          <w:sz w:val="19"/>
          <w:szCs w:val="19"/>
          <w:lang w:val="pt-BR"/>
        </w:rPr>
        <w:t>X</w:t>
      </w:r>
      <w:r>
        <w:rPr>
          <w:rFonts w:hint="default" w:ascii="Arial" w:hAnsi="Arial" w:cs="Arial"/>
          <w:sz w:val="19"/>
          <w:szCs w:val="19"/>
        </w:rPr>
        <w:t>V</w:t>
      </w:r>
      <w:r>
        <w:rPr>
          <w:rFonts w:hint="default" w:ascii="Arial" w:hAnsi="Arial" w:cs="Arial"/>
          <w:sz w:val="19"/>
          <w:szCs w:val="19"/>
          <w:lang w:val="pt-BR"/>
        </w:rPr>
        <w:t>I</w:t>
      </w:r>
      <w:r>
        <w:rPr>
          <w:rFonts w:hint="default" w:ascii="Arial" w:hAnsi="Arial" w:cs="Arial"/>
          <w:sz w:val="19"/>
          <w:szCs w:val="19"/>
        </w:rPr>
        <w:t xml:space="preserve"> - Relação dos itens no ComprasGovernamentais</w:t>
      </w:r>
    </w:p>
    <w:p w14:paraId="1B1E33B5">
      <w:pPr>
        <w:pStyle w:val="299"/>
        <w:numPr>
          <w:ilvl w:val="0"/>
          <w:numId w:val="0"/>
        </w:numPr>
        <w:spacing w:line="240" w:lineRule="auto"/>
        <w:ind w:leftChars="0"/>
        <w:jc w:val="both"/>
        <w:rPr>
          <w:rFonts w:hint="default" w:ascii="Arial" w:hAnsi="Arial" w:cs="Arial"/>
          <w:sz w:val="19"/>
          <w:szCs w:val="19"/>
        </w:rPr>
      </w:pPr>
      <w:r>
        <w:rPr>
          <w:rFonts w:hint="default" w:ascii="Arial" w:hAnsi="Arial" w:cs="Arial"/>
          <w:sz w:val="19"/>
          <w:szCs w:val="19"/>
          <w:lang w:val="pt-BR"/>
        </w:rPr>
        <w:t>Anexo XVII - L</w:t>
      </w:r>
      <w:r>
        <w:rPr>
          <w:rFonts w:hint="default" w:ascii="Arial" w:hAnsi="Arial" w:cs="Arial"/>
          <w:bCs/>
          <w:color w:val="000000"/>
          <w:sz w:val="19"/>
          <w:szCs w:val="19"/>
        </w:rPr>
        <w:t>ei 4.853/2022</w:t>
      </w:r>
    </w:p>
    <w:p w14:paraId="0A9E34E5">
      <w:pPr>
        <w:pStyle w:val="299"/>
        <w:numPr>
          <w:ilvl w:val="0"/>
          <w:numId w:val="0"/>
        </w:numPr>
        <w:spacing w:line="240" w:lineRule="auto"/>
        <w:ind w:leftChars="0"/>
        <w:jc w:val="both"/>
        <w:rPr>
          <w:rFonts w:hint="default" w:ascii="Arial" w:hAnsi="Arial" w:cs="Arial"/>
          <w:bCs/>
          <w:color w:val="000000"/>
          <w:sz w:val="19"/>
          <w:szCs w:val="19"/>
        </w:rPr>
      </w:pPr>
      <w:r>
        <w:rPr>
          <w:rFonts w:hint="default" w:ascii="Arial" w:hAnsi="Arial" w:cs="Arial"/>
          <w:bCs/>
          <w:color w:val="000000"/>
          <w:sz w:val="19"/>
          <w:szCs w:val="19"/>
          <w:lang w:val="pt-BR"/>
        </w:rPr>
        <w:t>Anexo XVIII -  L</w:t>
      </w:r>
      <w:r>
        <w:rPr>
          <w:rFonts w:hint="default" w:ascii="Arial" w:hAnsi="Arial" w:cs="Arial"/>
          <w:bCs/>
          <w:color w:val="000000"/>
          <w:sz w:val="19"/>
          <w:szCs w:val="19"/>
        </w:rPr>
        <w:t xml:space="preserve">ei 4.971/2023 </w:t>
      </w:r>
    </w:p>
    <w:p w14:paraId="4C65F216">
      <w:pPr>
        <w:pStyle w:val="299"/>
        <w:numPr>
          <w:ilvl w:val="0"/>
          <w:numId w:val="0"/>
        </w:numPr>
        <w:spacing w:line="240" w:lineRule="auto"/>
        <w:ind w:leftChars="0"/>
        <w:jc w:val="both"/>
        <w:rPr>
          <w:rFonts w:hint="default" w:ascii="Arial" w:hAnsi="Arial" w:cs="Arial"/>
          <w:bCs/>
          <w:color w:val="000000"/>
          <w:sz w:val="19"/>
          <w:szCs w:val="19"/>
          <w:lang w:val="pt-BR"/>
        </w:rPr>
      </w:pPr>
      <w:r>
        <w:rPr>
          <w:rFonts w:hint="default" w:ascii="Arial" w:hAnsi="Arial" w:cs="Arial"/>
          <w:bCs/>
          <w:color w:val="000000"/>
          <w:sz w:val="19"/>
          <w:szCs w:val="19"/>
          <w:lang w:val="pt-BR"/>
        </w:rPr>
        <w:t>Anexo XIX - Parecer jurídico abertura</w:t>
      </w:r>
    </w:p>
    <w:p w14:paraId="6891C9EE">
      <w:pPr>
        <w:pStyle w:val="305"/>
        <w:spacing w:before="0" w:after="0" w:line="240" w:lineRule="auto"/>
        <w:ind w:left="0"/>
        <w:rPr>
          <w:rFonts w:hint="default" w:ascii="Arial" w:hAnsi="Arial" w:cs="Arial"/>
          <w:sz w:val="19"/>
          <w:szCs w:val="19"/>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rPr>
      </w:pPr>
      <w:r>
        <w:rPr>
          <w:rFonts w:hint="default" w:ascii="Arial" w:hAnsi="Arial" w:cs="Arial"/>
          <w:b/>
          <w:sz w:val="19"/>
          <w:szCs w:val="19"/>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lang w:eastAsia="ar-SA"/>
        </w:rPr>
      </w:pPr>
      <w:r>
        <w:rPr>
          <w:rFonts w:hint="default" w:ascii="Arial" w:hAnsi="Arial" w:cs="Arial"/>
          <w:sz w:val="19"/>
          <w:szCs w:val="19"/>
        </w:rPr>
        <w:t xml:space="preserve">20.1 O Foro competente para dirimir as controvérsias desse Edital é o da Comarca de </w:t>
      </w:r>
      <w:r>
        <w:rPr>
          <w:rFonts w:hint="default" w:ascii="Arial" w:hAnsi="Arial" w:cs="Arial"/>
          <w:sz w:val="19"/>
          <w:szCs w:val="19"/>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9"/>
          <w:szCs w:val="19"/>
        </w:rPr>
      </w:pPr>
      <w:r>
        <w:rPr>
          <w:rFonts w:hint="default" w:ascii="Arial" w:hAnsi="Arial" w:cs="Arial"/>
          <w:sz w:val="19"/>
          <w:szCs w:val="19"/>
        </w:rPr>
        <w:t>Cataguases,</w:t>
      </w:r>
      <w:r>
        <w:rPr>
          <w:rFonts w:hint="default" w:ascii="Arial" w:hAnsi="Arial" w:cs="Arial"/>
          <w:sz w:val="19"/>
          <w:szCs w:val="19"/>
          <w:lang w:val="pt-BR"/>
        </w:rPr>
        <w:t xml:space="preserve"> 06 de agosto </w:t>
      </w:r>
      <w:r>
        <w:rPr>
          <w:rFonts w:hint="default" w:ascii="Arial" w:hAnsi="Arial" w:cs="Arial"/>
          <w:sz w:val="19"/>
          <w:szCs w:val="19"/>
        </w:rPr>
        <w:t>de 2024.</w:t>
      </w:r>
    </w:p>
    <w:p w14:paraId="625F6235">
      <w:pPr>
        <w:ind w:firstLine="567"/>
        <w:jc w:val="center"/>
        <w:rPr>
          <w:rFonts w:hint="default" w:ascii="Arial" w:hAnsi="Arial" w:cs="Arial"/>
          <w:sz w:val="19"/>
          <w:szCs w:val="19"/>
        </w:rPr>
      </w:pPr>
    </w:p>
    <w:p w14:paraId="0A4AF179">
      <w:pPr>
        <w:ind w:firstLine="567"/>
        <w:jc w:val="center"/>
        <w:rPr>
          <w:rFonts w:hint="default" w:ascii="Arial" w:hAnsi="Arial" w:cs="Arial"/>
          <w:sz w:val="19"/>
          <w:szCs w:val="19"/>
        </w:rPr>
      </w:pPr>
    </w:p>
    <w:p w14:paraId="04C0B1B5">
      <w:pPr>
        <w:ind w:firstLine="567"/>
        <w:jc w:val="center"/>
        <w:rPr>
          <w:rFonts w:hint="default" w:ascii="Arial" w:hAnsi="Arial" w:cs="Arial"/>
          <w:sz w:val="19"/>
          <w:szCs w:val="19"/>
        </w:rPr>
      </w:pPr>
      <w:r>
        <w:rPr>
          <w:rFonts w:hint="default" w:ascii="Arial" w:hAnsi="Arial" w:cs="Arial"/>
          <w:sz w:val="19"/>
          <w:szCs w:val="19"/>
        </w:rPr>
        <w:t>_________________________________</w:t>
      </w:r>
    </w:p>
    <w:p w14:paraId="5F2DDBDA">
      <w:pPr>
        <w:ind w:firstLine="567"/>
        <w:jc w:val="center"/>
        <w:rPr>
          <w:rFonts w:hint="default" w:ascii="Arial" w:hAnsi="Arial" w:cs="Arial"/>
          <w:b/>
          <w:bCs/>
          <w:sz w:val="19"/>
          <w:szCs w:val="19"/>
        </w:rPr>
      </w:pPr>
      <w:r>
        <w:rPr>
          <w:rFonts w:hint="default" w:ascii="Arial" w:hAnsi="Arial" w:cs="Arial"/>
          <w:b/>
          <w:bCs/>
          <w:sz w:val="19"/>
          <w:szCs w:val="19"/>
        </w:rPr>
        <w:t>José Henriques</w:t>
      </w:r>
    </w:p>
    <w:p w14:paraId="3ABEB736">
      <w:pPr>
        <w:ind w:firstLine="567"/>
        <w:jc w:val="center"/>
        <w:rPr>
          <w:rFonts w:hint="default" w:ascii="Arial" w:hAnsi="Arial" w:cs="Arial"/>
          <w:b/>
          <w:bCs/>
          <w:sz w:val="19"/>
          <w:szCs w:val="19"/>
        </w:rPr>
      </w:pPr>
      <w:r>
        <w:rPr>
          <w:rFonts w:hint="default" w:ascii="Arial" w:hAnsi="Arial" w:cs="Arial"/>
          <w:b/>
          <w:bCs/>
          <w:sz w:val="19"/>
          <w:szCs w:val="19"/>
        </w:rPr>
        <w:t>Prefeito de Cataguases</w:t>
      </w:r>
    </w:p>
    <w:p w14:paraId="72EA52EF">
      <w:pPr>
        <w:spacing w:line="360" w:lineRule="auto"/>
        <w:ind w:firstLine="567"/>
        <w:jc w:val="center"/>
        <w:rPr>
          <w:rFonts w:ascii="Arial" w:hAnsi="Arial" w:cs="Arial"/>
          <w:b/>
          <w:bCs/>
          <w:sz w:val="20"/>
          <w:szCs w:val="20"/>
        </w:rPr>
      </w:pPr>
    </w:p>
    <w:p w14:paraId="3ACE0EEC">
      <w:pPr>
        <w:jc w:val="center"/>
        <w:rPr>
          <w:rFonts w:hint="default" w:ascii="Arial" w:hAnsi="Arial" w:cs="Arial"/>
          <w:b/>
          <w:bCs/>
          <w:color w:val="auto"/>
          <w:sz w:val="32"/>
          <w:szCs w:val="32"/>
          <w:lang w:val="pt-BR"/>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086/2024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054/2024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039/2024</w:t>
      </w:r>
    </w:p>
    <w:p w14:paraId="2B13968F">
      <w:pPr>
        <w:jc w:val="center"/>
        <w:rPr>
          <w:rFonts w:ascii="Arial" w:hAnsi="Arial" w:cs="Arial"/>
          <w:b/>
          <w:bCs/>
          <w:color w:val="000000"/>
          <w:sz w:val="20"/>
          <w:szCs w:val="20"/>
        </w:rPr>
      </w:pPr>
    </w:p>
    <w:p w14:paraId="09C396B7">
      <w:pPr>
        <w:pStyle w:val="221"/>
        <w:numPr>
          <w:ilvl w:val="0"/>
          <w:numId w:val="17"/>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CULTURA E TURISMO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40" w:lineRule="auto"/>
        <w:jc w:val="center"/>
        <w:rPr>
          <w:rFonts w:hint="default" w:ascii="Arial" w:hAnsi="Arial" w:cs="Arial"/>
          <w:b/>
          <w:sz w:val="18"/>
          <w:szCs w:val="18"/>
        </w:rPr>
      </w:pPr>
    </w:p>
    <w:p w14:paraId="73FFF743">
      <w:pPr>
        <w:keepNext/>
        <w:keepLines/>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tl w:val="0"/>
        </w:rPr>
        <w:t>1. CONDIÇÕES GERAIS DA CONTRATAÇÃO</w:t>
      </w:r>
    </w:p>
    <w:p w14:paraId="175B50DA">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8"/>
          <w:szCs w:val="18"/>
        </w:rPr>
      </w:pPr>
      <w:r>
        <w:rPr>
          <w:rFonts w:hint="default" w:ascii="Arial" w:hAnsi="Arial" w:eastAsia="Times New Roman" w:cs="Arial"/>
          <w:sz w:val="18"/>
          <w:szCs w:val="18"/>
          <w:rtl w:val="0"/>
        </w:rPr>
        <w:t>Trata - se de Registro de Preço, menor preço por lote único, pelo prazo de 12 (doze) meses para empresa especializada em serviços de locação de geradores de energia para atender as demandas da Prefeitura de Cataguases. Conforme a Lei nº 14.133/2021.</w:t>
      </w:r>
    </w:p>
    <w:p w14:paraId="1AE803B8">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9"/>
          <w:szCs w:val="19"/>
        </w:rPr>
      </w:pPr>
    </w:p>
    <w:tbl>
      <w:tblPr>
        <w:tblStyle w:val="345"/>
        <w:tblW w:w="906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60"/>
        <w:gridCol w:w="3225"/>
        <w:gridCol w:w="1245"/>
        <w:gridCol w:w="1815"/>
        <w:gridCol w:w="1815"/>
      </w:tblGrid>
      <w:tr w14:paraId="77B54A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gridSpan w:val="5"/>
            <w:shd w:val="clear" w:color="auto" w:fill="D9D9D9"/>
            <w:tcMar>
              <w:top w:w="100" w:type="dxa"/>
              <w:left w:w="100" w:type="dxa"/>
              <w:bottom w:w="100" w:type="dxa"/>
              <w:right w:w="100" w:type="dxa"/>
            </w:tcMar>
            <w:vAlign w:val="center"/>
          </w:tcPr>
          <w:p w14:paraId="26215770">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6"/>
                <w:szCs w:val="16"/>
              </w:rPr>
            </w:pPr>
            <w:r>
              <w:rPr>
                <w:rFonts w:hint="default" w:ascii="Arial" w:hAnsi="Arial" w:eastAsia="Times New Roman" w:cs="Arial"/>
                <w:b/>
                <w:sz w:val="16"/>
                <w:szCs w:val="16"/>
                <w:rtl w:val="0"/>
              </w:rPr>
              <w:t xml:space="preserve">LOTE ÚNICO </w:t>
            </w:r>
          </w:p>
        </w:tc>
      </w:tr>
      <w:tr w14:paraId="7E6A80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shd w:val="clear" w:color="auto" w:fill="D9D9D9"/>
            <w:tcMar>
              <w:top w:w="100" w:type="dxa"/>
              <w:left w:w="100" w:type="dxa"/>
              <w:bottom w:w="100" w:type="dxa"/>
              <w:right w:w="100" w:type="dxa"/>
            </w:tcMar>
            <w:vAlign w:val="center"/>
          </w:tcPr>
          <w:p w14:paraId="75BD03E2">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6"/>
                <w:szCs w:val="16"/>
              </w:rPr>
            </w:pPr>
            <w:r>
              <w:rPr>
                <w:rFonts w:hint="default" w:ascii="Arial" w:hAnsi="Arial" w:eastAsia="Times New Roman" w:cs="Arial"/>
                <w:b/>
                <w:sz w:val="16"/>
                <w:szCs w:val="16"/>
                <w:rtl w:val="0"/>
              </w:rPr>
              <w:t>Item</w:t>
            </w:r>
          </w:p>
        </w:tc>
        <w:tc>
          <w:tcPr>
            <w:shd w:val="clear" w:color="auto" w:fill="D9D9D9"/>
            <w:tcMar>
              <w:top w:w="100" w:type="dxa"/>
              <w:left w:w="100" w:type="dxa"/>
              <w:bottom w:w="100" w:type="dxa"/>
              <w:right w:w="100" w:type="dxa"/>
            </w:tcMar>
            <w:vAlign w:val="center"/>
          </w:tcPr>
          <w:p w14:paraId="37FE6ADD">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6"/>
                <w:szCs w:val="16"/>
              </w:rPr>
            </w:pPr>
            <w:r>
              <w:rPr>
                <w:rFonts w:hint="default" w:ascii="Arial" w:hAnsi="Arial" w:eastAsia="Times New Roman" w:cs="Arial"/>
                <w:b/>
                <w:sz w:val="16"/>
                <w:szCs w:val="16"/>
                <w:rtl w:val="0"/>
              </w:rPr>
              <w:t>Descrição</w:t>
            </w:r>
          </w:p>
        </w:tc>
        <w:tc>
          <w:tcPr>
            <w:shd w:val="clear" w:color="auto" w:fill="D9D9D9"/>
            <w:tcMar>
              <w:top w:w="100" w:type="dxa"/>
              <w:left w:w="100" w:type="dxa"/>
              <w:bottom w:w="100" w:type="dxa"/>
              <w:right w:w="100" w:type="dxa"/>
            </w:tcMar>
            <w:vAlign w:val="center"/>
          </w:tcPr>
          <w:p w14:paraId="3F375701">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6"/>
                <w:szCs w:val="16"/>
              </w:rPr>
            </w:pPr>
            <w:r>
              <w:rPr>
                <w:rFonts w:hint="default" w:ascii="Arial" w:hAnsi="Arial" w:eastAsia="Times New Roman" w:cs="Arial"/>
                <w:b/>
                <w:sz w:val="16"/>
                <w:szCs w:val="16"/>
                <w:rtl w:val="0"/>
              </w:rPr>
              <w:t>Unidade</w:t>
            </w:r>
          </w:p>
        </w:tc>
        <w:tc>
          <w:tcPr>
            <w:shd w:val="clear" w:color="auto" w:fill="D9D9D9"/>
            <w:tcMar>
              <w:top w:w="100" w:type="dxa"/>
              <w:left w:w="100" w:type="dxa"/>
              <w:bottom w:w="100" w:type="dxa"/>
              <w:right w:w="100" w:type="dxa"/>
            </w:tcMar>
            <w:vAlign w:val="center"/>
          </w:tcPr>
          <w:p w14:paraId="5E3148B0">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6"/>
                <w:szCs w:val="16"/>
              </w:rPr>
            </w:pPr>
            <w:r>
              <w:rPr>
                <w:rFonts w:hint="default" w:ascii="Arial" w:hAnsi="Arial" w:eastAsia="Times New Roman" w:cs="Arial"/>
                <w:b/>
                <w:sz w:val="16"/>
                <w:szCs w:val="16"/>
                <w:rtl w:val="0"/>
              </w:rPr>
              <w:t>Quantidade</w:t>
            </w:r>
          </w:p>
        </w:tc>
        <w:tc>
          <w:tcPr>
            <w:shd w:val="clear" w:color="auto" w:fill="D9D9D9"/>
            <w:tcMar>
              <w:top w:w="100" w:type="dxa"/>
              <w:left w:w="100" w:type="dxa"/>
              <w:bottom w:w="100" w:type="dxa"/>
              <w:right w:w="100" w:type="dxa"/>
            </w:tcMar>
            <w:vAlign w:val="center"/>
          </w:tcPr>
          <w:p w14:paraId="427144DC">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6"/>
                <w:szCs w:val="16"/>
              </w:rPr>
            </w:pPr>
            <w:r>
              <w:rPr>
                <w:rFonts w:hint="default" w:ascii="Arial" w:hAnsi="Arial" w:eastAsia="Times New Roman" w:cs="Arial"/>
                <w:b/>
                <w:sz w:val="16"/>
                <w:szCs w:val="16"/>
                <w:rtl w:val="0"/>
              </w:rPr>
              <w:t>Cód Comprasnet</w:t>
            </w:r>
          </w:p>
        </w:tc>
      </w:tr>
      <w:tr w14:paraId="4DE0C4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Borders>
              <w:top w:val="single" w:color="000000"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18D293E4">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b/>
                <w:sz w:val="16"/>
                <w:szCs w:val="16"/>
                <w:rtl w:val="0"/>
              </w:rPr>
              <w:t>1</w:t>
            </w:r>
          </w:p>
        </w:tc>
        <w:tc>
          <w:tcPr>
            <w:tcBorders>
              <w:top w:val="single" w:color="000000"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646E66C7">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6"/>
                <w:szCs w:val="16"/>
              </w:rPr>
            </w:pPr>
            <w:r>
              <w:rPr>
                <w:rFonts w:hint="default" w:ascii="Arial" w:hAnsi="Arial" w:eastAsia="Times New Roman" w:cs="Arial"/>
                <w:sz w:val="16"/>
                <w:szCs w:val="16"/>
                <w:rtl w:val="0"/>
              </w:rPr>
              <w:t>GERADOR: GRUPO GERADOR DE ENERGIA CABINADO, A DIESEL</w:t>
            </w:r>
          </w:p>
          <w:p w14:paraId="65A15741">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6"/>
                <w:szCs w:val="16"/>
              </w:rPr>
            </w:pPr>
            <w:r>
              <w:rPr>
                <w:rFonts w:hint="default" w:ascii="Arial" w:hAnsi="Arial" w:eastAsia="Times New Roman" w:cs="Arial"/>
                <w:sz w:val="16"/>
                <w:szCs w:val="16"/>
                <w:rtl w:val="0"/>
              </w:rPr>
              <w:t>SILENCIADO, COM NO MÍNIMO 180 KVA S, EM 127/220V, 60H, RESPEITANDO AS NORMAS VIGENTES.</w:t>
            </w:r>
          </w:p>
          <w:p w14:paraId="65FBC1DF">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6"/>
                <w:szCs w:val="16"/>
              </w:rPr>
            </w:pPr>
            <w:r>
              <w:rPr>
                <w:rFonts w:hint="default" w:ascii="Arial" w:hAnsi="Arial" w:eastAsia="Times New Roman" w:cs="Arial"/>
                <w:sz w:val="16"/>
                <w:szCs w:val="16"/>
                <w:rtl w:val="0"/>
              </w:rPr>
              <w:t>PERÍODO DE 12 HORAS (STAND-BY)</w:t>
            </w:r>
          </w:p>
        </w:tc>
        <w:tc>
          <w:tcPr>
            <w:tcBorders>
              <w:top w:val="single" w:color="000000"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560D346B">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sz w:val="16"/>
                <w:szCs w:val="16"/>
                <w:rtl w:val="0"/>
              </w:rPr>
              <w:t>Diária</w:t>
            </w:r>
          </w:p>
        </w:tc>
        <w:tc>
          <w:tcPr>
            <w:tcBorders>
              <w:top w:val="single" w:color="000000"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5C742C46">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sz w:val="16"/>
                <w:szCs w:val="16"/>
                <w:rtl w:val="0"/>
              </w:rPr>
              <w:t>12</w:t>
            </w:r>
          </w:p>
        </w:tc>
        <w:tc>
          <w:tcPr>
            <w:shd w:val="clear" w:color="auto" w:fill="auto"/>
            <w:tcMar>
              <w:top w:w="100" w:type="dxa"/>
              <w:left w:w="100" w:type="dxa"/>
              <w:bottom w:w="100" w:type="dxa"/>
              <w:right w:w="100" w:type="dxa"/>
            </w:tcMar>
            <w:vAlign w:val="center"/>
          </w:tcPr>
          <w:p w14:paraId="3DCACE1B">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6"/>
                <w:szCs w:val="16"/>
              </w:rPr>
            </w:pPr>
            <w:r>
              <w:rPr>
                <w:rFonts w:hint="default" w:ascii="Arial" w:hAnsi="Arial" w:eastAsia="Times New Roman" w:cs="Arial"/>
                <w:sz w:val="16"/>
                <w:szCs w:val="16"/>
                <w:rtl w:val="0"/>
              </w:rPr>
              <w:t>21679</w:t>
            </w:r>
          </w:p>
        </w:tc>
      </w:tr>
      <w:tr w14:paraId="61853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Borders>
              <w:top w:val="single" w:color="CCCCCC"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0D045315">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b/>
                <w:sz w:val="16"/>
                <w:szCs w:val="16"/>
                <w:rtl w:val="0"/>
              </w:rPr>
              <w:t>2</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4F854C7D">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6"/>
                <w:szCs w:val="16"/>
              </w:rPr>
            </w:pPr>
            <w:r>
              <w:rPr>
                <w:rFonts w:hint="default" w:ascii="Arial" w:hAnsi="Arial" w:eastAsia="Times New Roman" w:cs="Arial"/>
                <w:sz w:val="16"/>
                <w:szCs w:val="16"/>
                <w:rtl w:val="0"/>
              </w:rPr>
              <w:t>GERADOR: GRUPO GERADOR DE ENERGIA CABINADO, A DIESEL</w:t>
            </w:r>
          </w:p>
          <w:p w14:paraId="6C55E679">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6"/>
                <w:szCs w:val="16"/>
              </w:rPr>
            </w:pPr>
            <w:r>
              <w:rPr>
                <w:rFonts w:hint="default" w:ascii="Arial" w:hAnsi="Arial" w:eastAsia="Times New Roman" w:cs="Arial"/>
                <w:sz w:val="16"/>
                <w:szCs w:val="16"/>
                <w:rtl w:val="0"/>
              </w:rPr>
              <w:t>SILENCIADO COM NO MÍNIMO 180 KVA'S, EM 127/220V, 60H, RESPEITANDO AS NORMAS VIGENTES.</w:t>
            </w:r>
          </w:p>
          <w:p w14:paraId="5E77B14E">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6"/>
                <w:szCs w:val="16"/>
              </w:rPr>
            </w:pPr>
            <w:r>
              <w:rPr>
                <w:rFonts w:hint="default" w:ascii="Arial" w:hAnsi="Arial" w:eastAsia="Times New Roman" w:cs="Arial"/>
                <w:sz w:val="16"/>
                <w:szCs w:val="16"/>
                <w:rtl w:val="0"/>
              </w:rPr>
              <w:t>PERÍODO DE 12 HORAS (FUNCIONANDO)</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5E610259">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sz w:val="16"/>
                <w:szCs w:val="16"/>
                <w:rtl w:val="0"/>
              </w:rPr>
              <w:t>Diária</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65CD918D">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sz w:val="16"/>
                <w:szCs w:val="16"/>
                <w:rtl w:val="0"/>
              </w:rPr>
              <w:t>12</w:t>
            </w:r>
          </w:p>
        </w:tc>
        <w:tc>
          <w:tcPr>
            <w:shd w:val="clear" w:color="auto" w:fill="auto"/>
            <w:tcMar>
              <w:top w:w="100" w:type="dxa"/>
              <w:left w:w="100" w:type="dxa"/>
              <w:bottom w:w="100" w:type="dxa"/>
              <w:right w:w="100" w:type="dxa"/>
            </w:tcMar>
            <w:vAlign w:val="center"/>
          </w:tcPr>
          <w:p w14:paraId="1DC24FF1">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6"/>
                <w:szCs w:val="16"/>
              </w:rPr>
            </w:pPr>
            <w:r>
              <w:rPr>
                <w:rFonts w:hint="default" w:ascii="Arial" w:hAnsi="Arial" w:eastAsia="Times New Roman" w:cs="Arial"/>
                <w:sz w:val="16"/>
                <w:szCs w:val="16"/>
                <w:rtl w:val="0"/>
              </w:rPr>
              <w:t>21679</w:t>
            </w:r>
          </w:p>
        </w:tc>
      </w:tr>
      <w:tr w14:paraId="0B677A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Borders>
              <w:top w:val="single" w:color="CCCCCC"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2EE651BF">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b/>
                <w:sz w:val="16"/>
                <w:szCs w:val="16"/>
                <w:rtl w:val="0"/>
              </w:rPr>
              <w:t>3</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502F190C">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6"/>
                <w:szCs w:val="16"/>
              </w:rPr>
            </w:pPr>
            <w:r>
              <w:rPr>
                <w:rFonts w:hint="default" w:ascii="Arial" w:hAnsi="Arial" w:eastAsia="Times New Roman" w:cs="Arial"/>
                <w:sz w:val="16"/>
                <w:szCs w:val="16"/>
                <w:rtl w:val="0"/>
              </w:rPr>
              <w:t>GERADOR: GRUPO GERADOR DE ENERGIA CABINADO, A DIESEL</w:t>
            </w:r>
          </w:p>
          <w:p w14:paraId="7A97F205">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6"/>
                <w:szCs w:val="16"/>
              </w:rPr>
            </w:pPr>
            <w:r>
              <w:rPr>
                <w:rFonts w:hint="default" w:ascii="Arial" w:hAnsi="Arial" w:eastAsia="Times New Roman" w:cs="Arial"/>
                <w:sz w:val="16"/>
                <w:szCs w:val="16"/>
                <w:rtl w:val="0"/>
              </w:rPr>
              <w:t>SILENCIADO COM NO MÍNIMO 260 KVA'S, EM 127/220V, 60H, RESPEITANDO AS NORMAS VIGENTES.</w:t>
            </w:r>
          </w:p>
          <w:p w14:paraId="79BEEE63">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6"/>
                <w:szCs w:val="16"/>
              </w:rPr>
            </w:pPr>
            <w:r>
              <w:rPr>
                <w:rFonts w:hint="default" w:ascii="Arial" w:hAnsi="Arial" w:eastAsia="Times New Roman" w:cs="Arial"/>
                <w:sz w:val="16"/>
                <w:szCs w:val="16"/>
                <w:rtl w:val="0"/>
              </w:rPr>
              <w:t>PERÍODO DE 12 HORAS (STAND - BY)</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6EF4A523">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sz w:val="16"/>
                <w:szCs w:val="16"/>
                <w:rtl w:val="0"/>
              </w:rPr>
              <w:t>Diária</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285BEF57">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sz w:val="16"/>
                <w:szCs w:val="16"/>
                <w:rtl w:val="0"/>
              </w:rPr>
              <w:t>12</w:t>
            </w:r>
          </w:p>
        </w:tc>
        <w:tc>
          <w:tcPr>
            <w:shd w:val="clear" w:color="auto" w:fill="auto"/>
            <w:tcMar>
              <w:top w:w="100" w:type="dxa"/>
              <w:left w:w="100" w:type="dxa"/>
              <w:bottom w:w="100" w:type="dxa"/>
              <w:right w:w="100" w:type="dxa"/>
            </w:tcMar>
            <w:vAlign w:val="center"/>
          </w:tcPr>
          <w:p w14:paraId="265A24D5">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color w:val="333333"/>
                <w:sz w:val="16"/>
                <w:szCs w:val="16"/>
                <w:highlight w:val="white"/>
              </w:rPr>
            </w:pPr>
            <w:r>
              <w:rPr>
                <w:rFonts w:hint="default" w:ascii="Arial" w:hAnsi="Arial" w:eastAsia="Times New Roman" w:cs="Arial"/>
                <w:color w:val="333333"/>
                <w:sz w:val="16"/>
                <w:szCs w:val="16"/>
                <w:highlight w:val="white"/>
                <w:rtl w:val="0"/>
              </w:rPr>
              <w:t>21679</w:t>
            </w:r>
          </w:p>
        </w:tc>
      </w:tr>
      <w:tr w14:paraId="78D6AA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Borders>
              <w:top w:val="single" w:color="CCCCCC"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7DCD18E6">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b/>
                <w:sz w:val="16"/>
                <w:szCs w:val="16"/>
                <w:rtl w:val="0"/>
              </w:rPr>
              <w:t>4</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38C435E4">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6"/>
                <w:szCs w:val="16"/>
              </w:rPr>
            </w:pPr>
            <w:r>
              <w:rPr>
                <w:rFonts w:hint="default" w:ascii="Arial" w:hAnsi="Arial" w:eastAsia="Times New Roman" w:cs="Arial"/>
                <w:sz w:val="16"/>
                <w:szCs w:val="16"/>
                <w:rtl w:val="0"/>
              </w:rPr>
              <w:t>GERADOR: GRUPO GERADOR DE ENERGIA CABINADO, A DIESEL</w:t>
            </w:r>
          </w:p>
          <w:p w14:paraId="7B280540">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6"/>
                <w:szCs w:val="16"/>
              </w:rPr>
            </w:pPr>
            <w:r>
              <w:rPr>
                <w:rFonts w:hint="default" w:ascii="Arial" w:hAnsi="Arial" w:eastAsia="Times New Roman" w:cs="Arial"/>
                <w:sz w:val="16"/>
                <w:szCs w:val="16"/>
                <w:rtl w:val="0"/>
              </w:rPr>
              <w:t>SILENCIADO COM NO MÍNIMO 260 KVA'S, EM 127/220V, 60H, RESPEITANDO AS NORMAS VIGENTES.</w:t>
            </w:r>
          </w:p>
          <w:p w14:paraId="78C2DF50">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6"/>
                <w:szCs w:val="16"/>
              </w:rPr>
            </w:pPr>
            <w:r>
              <w:rPr>
                <w:rFonts w:hint="default" w:ascii="Arial" w:hAnsi="Arial" w:eastAsia="Times New Roman" w:cs="Arial"/>
                <w:sz w:val="16"/>
                <w:szCs w:val="16"/>
                <w:rtl w:val="0"/>
              </w:rPr>
              <w:t>PERÍODO DE 12 HORAS (FUNCIONANDO)</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0EAC7269">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sz w:val="16"/>
                <w:szCs w:val="16"/>
                <w:rtl w:val="0"/>
              </w:rPr>
              <w:t>Diária</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7438F7EF">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6"/>
                <w:szCs w:val="16"/>
              </w:rPr>
            </w:pPr>
            <w:r>
              <w:rPr>
                <w:rFonts w:hint="default" w:ascii="Arial" w:hAnsi="Arial" w:eastAsia="Times New Roman" w:cs="Arial"/>
                <w:sz w:val="16"/>
                <w:szCs w:val="16"/>
                <w:rtl w:val="0"/>
              </w:rPr>
              <w:t>12</w:t>
            </w:r>
          </w:p>
        </w:tc>
        <w:tc>
          <w:tcPr>
            <w:shd w:val="clear" w:color="auto" w:fill="auto"/>
            <w:tcMar>
              <w:top w:w="100" w:type="dxa"/>
              <w:left w:w="100" w:type="dxa"/>
              <w:bottom w:w="100" w:type="dxa"/>
              <w:right w:w="100" w:type="dxa"/>
            </w:tcMar>
            <w:vAlign w:val="center"/>
          </w:tcPr>
          <w:p w14:paraId="2A2881BB">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color w:val="333333"/>
                <w:sz w:val="16"/>
                <w:szCs w:val="16"/>
                <w:highlight w:val="white"/>
              </w:rPr>
            </w:pPr>
            <w:r>
              <w:rPr>
                <w:rFonts w:hint="default" w:ascii="Arial" w:hAnsi="Arial" w:eastAsia="Times New Roman" w:cs="Arial"/>
                <w:color w:val="333333"/>
                <w:sz w:val="16"/>
                <w:szCs w:val="16"/>
                <w:highlight w:val="white"/>
                <w:rtl w:val="0"/>
              </w:rPr>
              <w:t>21679</w:t>
            </w:r>
          </w:p>
        </w:tc>
      </w:tr>
    </w:tbl>
    <w:p w14:paraId="38DA780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p>
    <w:p w14:paraId="066BC92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1.1.</w:t>
      </w:r>
      <w:r>
        <w:rPr>
          <w:rFonts w:hint="default" w:ascii="Arial" w:hAnsi="Arial" w:eastAsia="Times New Roman" w:cs="Arial"/>
          <w:sz w:val="17"/>
          <w:szCs w:val="17"/>
          <w:rtl w:val="0"/>
        </w:rPr>
        <w:t xml:space="preserve"> Os códigos do Comprasnet inseridos foram os mais aproximados ao objeto a ser licitado, prevalecendo sempre às descrições contidas no Termo de Referência.</w:t>
      </w:r>
    </w:p>
    <w:p w14:paraId="2EB377A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tl w:val="0"/>
        </w:rPr>
      </w:pPr>
      <w:r>
        <w:rPr>
          <w:rFonts w:hint="default" w:ascii="Arial" w:hAnsi="Arial" w:eastAsia="Times New Roman" w:cs="Arial"/>
          <w:b/>
          <w:sz w:val="17"/>
          <w:szCs w:val="17"/>
          <w:rtl w:val="0"/>
        </w:rPr>
        <w:t>1.2.</w:t>
      </w:r>
      <w:r>
        <w:rPr>
          <w:rFonts w:hint="default" w:ascii="Arial" w:hAnsi="Arial" w:eastAsia="Times New Roman" w:cs="Arial"/>
          <w:sz w:val="17"/>
          <w:szCs w:val="17"/>
          <w:rtl w:val="0"/>
        </w:rPr>
        <w:t xml:space="preserve"> Os bens objeto desta contratação são caracterizados como comuns, conforme justificativa no Estudo Técnico Preliminar.</w:t>
      </w:r>
    </w:p>
    <w:p w14:paraId="21A19C7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tl w:val="0"/>
        </w:rPr>
      </w:pPr>
    </w:p>
    <w:p w14:paraId="77426A17">
      <w:pPr>
        <w:keepNext/>
        <w:keepLines/>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sz w:val="17"/>
          <w:szCs w:val="17"/>
          <w:rtl w:val="0"/>
        </w:rPr>
        <w:t xml:space="preserve">2. </w:t>
      </w:r>
      <w:r>
        <w:rPr>
          <w:rFonts w:hint="default" w:ascii="Arial" w:hAnsi="Arial" w:eastAsia="Times New Roman" w:cs="Arial"/>
          <w:b/>
          <w:color w:val="000000"/>
          <w:sz w:val="17"/>
          <w:szCs w:val="17"/>
          <w:rtl w:val="0"/>
        </w:rPr>
        <w:t>FUNDAMENTAÇÃO E DESCRIÇÃO DA NECESSIDADE DA CONTRATAÇÃO</w:t>
      </w:r>
    </w:p>
    <w:p w14:paraId="7EEC4642">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2.1. </w:t>
      </w:r>
      <w:r>
        <w:rPr>
          <w:rFonts w:hint="default" w:ascii="Arial" w:hAnsi="Arial" w:eastAsia="Times New Roman" w:cs="Arial"/>
          <w:sz w:val="17"/>
          <w:szCs w:val="17"/>
          <w:rtl w:val="0"/>
        </w:rPr>
        <w:t xml:space="preserve">Considerando que a Secretaria de Cultura e Turismo promove anualmente diversos eventos em praça pública com grande concentração de público, como Aniversário da Cidade, Festival Conversa de Botequim, Natal Iluminado, Carnaval, além de promover parceria com outros eventos na cidade com o aporte de estrutura para realização dos mesmos. </w:t>
      </w:r>
    </w:p>
    <w:p w14:paraId="2701781E">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2.2. </w:t>
      </w:r>
      <w:r>
        <w:rPr>
          <w:rFonts w:hint="default" w:ascii="Arial" w:hAnsi="Arial" w:eastAsia="Times New Roman" w:cs="Arial"/>
          <w:sz w:val="17"/>
          <w:szCs w:val="17"/>
          <w:rtl w:val="0"/>
        </w:rPr>
        <w:t xml:space="preserve">Ademais, assegurar um fornecimento contínuo e confiável de energia elétrica para suportar todas as atividades programadas e demais elementos que compõem o evento é imprescindível. Contar com geradores que ofereçam flexibilidade operacional, possibilitando a adaptação às diferentes demandas de energia ao longo do evento, evite surpresas indesejadas como a não realização de um show ou espetáculo teatral. A capacidade de ajustar a potência de forma eficiente é crucial para lidar com variações na carga elétrica. </w:t>
      </w:r>
    </w:p>
    <w:p w14:paraId="40326D28">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2.3. </w:t>
      </w:r>
      <w:r>
        <w:rPr>
          <w:rFonts w:hint="default" w:ascii="Arial" w:hAnsi="Arial" w:eastAsia="Times New Roman" w:cs="Arial"/>
          <w:sz w:val="17"/>
          <w:szCs w:val="17"/>
          <w:rtl w:val="0"/>
        </w:rPr>
        <w:t>De acordo com a Instrução Normativa nº 33 do Corpo de Bombeiros, para eventos com público superior a 3.000 pessoas, é obrigatória a instalação de um grupo gerador de energia (ou fonte de energia alternativa) para a manutenção de todos os sistemas elétricos do evento, inclusive iluminação de emergência.</w:t>
      </w:r>
    </w:p>
    <w:p w14:paraId="4255EA7C">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tl w:val="0"/>
        </w:rPr>
      </w:pPr>
      <w:r>
        <w:rPr>
          <w:rFonts w:hint="default" w:ascii="Arial" w:hAnsi="Arial" w:eastAsia="Times New Roman" w:cs="Arial"/>
          <w:b/>
          <w:sz w:val="17"/>
          <w:szCs w:val="17"/>
          <w:rtl w:val="0"/>
        </w:rPr>
        <w:t xml:space="preserve">2.4. </w:t>
      </w:r>
      <w:r>
        <w:rPr>
          <w:rFonts w:hint="default" w:ascii="Arial" w:hAnsi="Arial" w:eastAsia="Times New Roman" w:cs="Arial"/>
          <w:sz w:val="17"/>
          <w:szCs w:val="17"/>
          <w:rtl w:val="0"/>
        </w:rPr>
        <w:t>Mais detalhes sobre a fundamentação da contratação pretendida constam no Estudo Técnico Preliminar, que se encontra em anexo.</w:t>
      </w:r>
    </w:p>
    <w:p w14:paraId="4E44DF63">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tl w:val="0"/>
        </w:rPr>
      </w:pPr>
    </w:p>
    <w:p w14:paraId="7A2E787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tl w:val="0"/>
        </w:rPr>
        <w:t>3.</w:t>
      </w:r>
      <w:r>
        <w:rPr>
          <w:rFonts w:hint="default" w:ascii="Arial" w:hAnsi="Arial" w:eastAsia="Times New Roman" w:cs="Arial"/>
          <w:color w:val="000000"/>
          <w:sz w:val="17"/>
          <w:szCs w:val="17"/>
          <w:rtl w:val="0"/>
        </w:rPr>
        <w:t xml:space="preserve">  </w:t>
      </w:r>
      <w:r>
        <w:rPr>
          <w:rFonts w:hint="default" w:ascii="Arial" w:hAnsi="Arial" w:eastAsia="Times New Roman" w:cs="Arial"/>
          <w:b/>
          <w:color w:val="000000"/>
          <w:sz w:val="17"/>
          <w:szCs w:val="17"/>
          <w:rtl w:val="0"/>
        </w:rPr>
        <w:t>DESCRIÇÃO DA SOLUÇÃO COMO UM TODO</w:t>
      </w:r>
    </w:p>
    <w:p w14:paraId="4D12B97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color w:val="000000"/>
          <w:sz w:val="17"/>
          <w:szCs w:val="17"/>
          <w:rtl w:val="0"/>
        </w:rPr>
        <w:t>3.1.</w:t>
      </w:r>
      <w:r>
        <w:rPr>
          <w:rFonts w:hint="default" w:ascii="Arial" w:hAnsi="Arial" w:eastAsia="Times New Roman" w:cs="Arial"/>
          <w:b/>
          <w:sz w:val="17"/>
          <w:szCs w:val="17"/>
          <w:rtl w:val="0"/>
        </w:rPr>
        <w:t xml:space="preserve">  </w:t>
      </w:r>
      <w:r>
        <w:rPr>
          <w:rFonts w:hint="default" w:ascii="Arial" w:hAnsi="Arial" w:eastAsia="Times New Roman" w:cs="Arial"/>
          <w:sz w:val="17"/>
          <w:szCs w:val="17"/>
          <w:rtl w:val="0"/>
        </w:rPr>
        <w:t>A solução para que sejam atendidas as necessidades da Secretaria de Cultura e Turismo que possui demanda de serviços de locação de geradores de energia é a da Abertura de Processo Licitatório, na modalidade Pregão Eletrônico, através do sistema de Registro de Preço, do tipo menor preço por lote único.</w:t>
      </w:r>
    </w:p>
    <w:p w14:paraId="518CA091">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 xml:space="preserve">O sistema de Registro de Preços traz algumas vantagens para Administração Pública como: </w:t>
      </w:r>
    </w:p>
    <w:p w14:paraId="5EA14A85">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 xml:space="preserve">a) Maior agilidade nas contratações; </w:t>
      </w:r>
    </w:p>
    <w:p w14:paraId="2072B591">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 xml:space="preserve">b) Redução da quantidade de licitações; </w:t>
      </w:r>
    </w:p>
    <w:p w14:paraId="728BD3B2">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c) Menores preços pelo efeito da economia de escala.</w:t>
      </w:r>
    </w:p>
    <w:p w14:paraId="365D36E5">
      <w:pPr>
        <w:keepNext/>
        <w:keepLines/>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p>
    <w:p w14:paraId="5425004B">
      <w:pPr>
        <w:keepNext/>
        <w:keepLines/>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tl w:val="0"/>
        </w:rPr>
        <w:t>4</w:t>
      </w:r>
      <w:r>
        <w:rPr>
          <w:rFonts w:hint="default" w:ascii="Arial" w:hAnsi="Arial" w:eastAsia="Times New Roman" w:cs="Arial"/>
          <w:color w:val="000000"/>
          <w:sz w:val="17"/>
          <w:szCs w:val="17"/>
          <w:rtl w:val="0"/>
        </w:rPr>
        <w:t xml:space="preserve">.   </w:t>
      </w:r>
      <w:r>
        <w:rPr>
          <w:rFonts w:hint="default" w:ascii="Arial" w:hAnsi="Arial" w:eastAsia="Times New Roman" w:cs="Arial"/>
          <w:b/>
          <w:color w:val="000000"/>
          <w:sz w:val="17"/>
          <w:szCs w:val="17"/>
          <w:rtl w:val="0"/>
        </w:rPr>
        <w:t>REQUISITOS DA CONTRATAÇÃO</w:t>
      </w:r>
    </w:p>
    <w:p w14:paraId="2EB4AE43">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tl w:val="0"/>
        </w:rPr>
        <w:t xml:space="preserve">4.1. </w:t>
      </w:r>
      <w:r>
        <w:rPr>
          <w:rFonts w:hint="default" w:ascii="Arial" w:hAnsi="Arial" w:eastAsia="Times New Roman" w:cs="Arial"/>
          <w:b/>
          <w:color w:val="000000"/>
          <w:sz w:val="17"/>
          <w:szCs w:val="17"/>
          <w:rtl w:val="0"/>
        </w:rPr>
        <w:tab/>
      </w:r>
      <w:r>
        <w:rPr>
          <w:rFonts w:hint="default" w:ascii="Arial" w:hAnsi="Arial" w:eastAsia="Times New Roman" w:cs="Arial"/>
          <w:b/>
          <w:color w:val="000000"/>
          <w:sz w:val="17"/>
          <w:szCs w:val="17"/>
          <w:rtl w:val="0"/>
        </w:rPr>
        <w:t>SUSTENTABILIDADE:</w:t>
      </w:r>
    </w:p>
    <w:p w14:paraId="0046F138">
      <w:pPr>
        <w:pageBreakBefore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color w:val="000000"/>
          <w:sz w:val="17"/>
          <w:szCs w:val="17"/>
          <w:rtl w:val="0"/>
        </w:rPr>
        <w:t>4.1.1.</w:t>
      </w:r>
      <w:r>
        <w:rPr>
          <w:rFonts w:hint="default" w:ascii="Arial" w:hAnsi="Arial" w:eastAsia="Times New Roman" w:cs="Arial"/>
          <w:b/>
          <w:sz w:val="17"/>
          <w:szCs w:val="17"/>
          <w:rtl w:val="0"/>
        </w:rPr>
        <w:t xml:space="preserve"> </w:t>
      </w:r>
      <w:r>
        <w:rPr>
          <w:rFonts w:hint="default" w:ascii="Arial" w:hAnsi="Arial" w:eastAsia="Times New Roman" w:cs="Arial"/>
          <w:sz w:val="17"/>
          <w:szCs w:val="17"/>
          <w:rtl w:val="0"/>
        </w:rPr>
        <w:t xml:space="preserve">Além dos critérios de sustentabilidade eventualmente inseridos na descrição do objeto, devem ser atendidos os seguintes requisitos, que se baseiam no Guia Nacional de Contratações Sustentáveis. </w:t>
      </w:r>
    </w:p>
    <w:p w14:paraId="13DBE685">
      <w:pPr>
        <w:pageBreakBefore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4.1.2. </w:t>
      </w:r>
      <w:r>
        <w:rPr>
          <w:rFonts w:hint="default" w:ascii="Arial" w:hAnsi="Arial" w:eastAsia="Times New Roman" w:cs="Arial"/>
          <w:sz w:val="17"/>
          <w:szCs w:val="17"/>
          <w:rtl w:val="0"/>
        </w:rPr>
        <w:t xml:space="preserve"> Nenhuma substância sólida, semissólida, líquida, gasosa ou de vapor deve ser descartada, sem prévia análise de suas consequências e impactos ao meio ambiente.</w:t>
      </w:r>
    </w:p>
    <w:p w14:paraId="13CCF99D">
      <w:pPr>
        <w:pageBreakBefore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p>
    <w:p w14:paraId="1B3A44B4">
      <w:pPr>
        <w:pageBreakBefore w:val="0"/>
        <w:shd w:val="clear" w:fill="FFFFFF"/>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r>
        <w:rPr>
          <w:rFonts w:hint="default" w:ascii="Arial" w:hAnsi="Arial" w:eastAsia="Times New Roman" w:cs="Arial"/>
          <w:b/>
          <w:sz w:val="17"/>
          <w:szCs w:val="17"/>
          <w:rtl w:val="0"/>
        </w:rPr>
        <w:t>4.2.1 REQUISITOS TÉCNICOS</w:t>
      </w:r>
    </w:p>
    <w:p w14:paraId="1FC7F6AD">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r>
        <w:rPr>
          <w:rFonts w:hint="default" w:ascii="Arial" w:hAnsi="Arial" w:eastAsia="Times New Roman" w:cs="Arial"/>
          <w:sz w:val="17"/>
          <w:szCs w:val="17"/>
          <w:rtl w:val="0"/>
        </w:rPr>
        <w:t xml:space="preserve">A prestação dos serviços contratados será conforme solicitação da Secretaria requisitante com antecedência de 07 (sete) dias, em locais a serem definidos e informados previamente pela administração e mantendo os seguintes critérios: </w:t>
      </w:r>
    </w:p>
    <w:p w14:paraId="6909B4A4">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a)  Os geradores devem ter potência e capacidades adequadas para atender à demanda máxima prevista durante o evento, considerando os picos de consumo e variações ao longo da programação;</w:t>
      </w:r>
    </w:p>
    <w:p w14:paraId="1E70C4C8">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 xml:space="preserve">b) Nos preços das locações deverão estar inclusas todas as despesas, incluindo transportes, carga e descarga, montagem e desmontagem, impostos/taxas e outras despesas. </w:t>
      </w:r>
    </w:p>
    <w:p w14:paraId="2A157FE1">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c) É de inteira responsabilidade o transporte de todo o equipamento até o local determinado e consequente retirada dos mesmos;</w:t>
      </w:r>
    </w:p>
    <w:p w14:paraId="0DBBBC2B">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d) Priorizar geradores que apresentem eficiência energética, garantindo o uso otimizado de combustível e minimizando impactos ambientais;</w:t>
      </w:r>
    </w:p>
    <w:p w14:paraId="4BC749E2">
      <w:pPr>
        <w:pageBreakBefore w:val="0"/>
        <w:shd w:val="clear" w:fill="FFFFFF"/>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p>
    <w:p w14:paraId="32B04052">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r>
        <w:rPr>
          <w:rFonts w:hint="default" w:ascii="Arial" w:hAnsi="Arial" w:eastAsia="Times New Roman" w:cs="Arial"/>
          <w:b/>
          <w:sz w:val="17"/>
          <w:szCs w:val="17"/>
          <w:rtl w:val="0"/>
        </w:rPr>
        <w:t>4.2.1.1. QUALIFICAÇÃO TÉCNICA</w:t>
      </w:r>
    </w:p>
    <w:p w14:paraId="7FDB1FA9">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4.2.1.1.1.</w:t>
      </w:r>
      <w:r>
        <w:rPr>
          <w:rFonts w:hint="default" w:ascii="Arial" w:hAnsi="Arial" w:eastAsia="Times New Roman" w:cs="Arial"/>
          <w:sz w:val="17"/>
          <w:szCs w:val="17"/>
          <w:rtl w:val="0"/>
        </w:rPr>
        <w:t xml:space="preserve"> CONTRATADA deverá apresentar certidão de registro da empresa no CREA e possuir engenheiro eletrico junto ao CREA, que assinará as ART’s (Anotação de Responsabilidade Técnica), considerando que o mesmo será o responsável técnico pela supervisão dos serviços, sendo para todos os efeitos legais relativos à parte técnica nomeada como Preposto Técnico da empresa CONTRATADA. Comprovação do vínculo do responsável técnico com a empresa, o que poderá ser realizado por meio da apresentação de um ou mais itens abaixo:</w:t>
      </w:r>
    </w:p>
    <w:p w14:paraId="0187DDCE">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 Carteira de Trabalho e Previdência Social - CTPS, ou Cópia da folha do livro de Registro de Empregados, ou</w:t>
      </w:r>
    </w:p>
    <w:p w14:paraId="1E5F219C">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 Cópia do Contrato Social ou Ato Constitutivo em vigor, em caso de sócio ou diretor, ou Cópia do Contrato de Prestação de Serviços, ou</w:t>
      </w:r>
    </w:p>
    <w:p w14:paraId="66693256">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 Declaração emitida pelo Prestador de Serviços de que concorda com a indicação e possui disponibilidade para exercer a função de responsável técnico dos serviços, caso a empresa seja vencedora.</w:t>
      </w:r>
    </w:p>
    <w:p w14:paraId="0430385F">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p>
    <w:p w14:paraId="57C4795A">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4.2.1.1.2. </w:t>
      </w:r>
      <w:r>
        <w:rPr>
          <w:rFonts w:hint="default" w:ascii="Arial" w:hAnsi="Arial" w:eastAsia="Times New Roman" w:cs="Arial"/>
          <w:sz w:val="17"/>
          <w:szCs w:val="17"/>
          <w:rtl w:val="0"/>
        </w:rPr>
        <w:t>Para a prestação dos serviços pretendidos os eventuais interessados deverão comprovar ainda que atuam em ramo de atividade compatível com o objeto da licitação, bem como apresentar todos os documentos a título habilitação, nos termos do art. 62, da Lei nº 14.133/2021.</w:t>
      </w:r>
    </w:p>
    <w:p w14:paraId="5808EE11">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p>
    <w:p w14:paraId="33DC9ED9">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r>
        <w:rPr>
          <w:rFonts w:hint="default" w:ascii="Arial" w:hAnsi="Arial" w:eastAsia="Times New Roman" w:cs="Arial"/>
          <w:b/>
          <w:sz w:val="17"/>
          <w:szCs w:val="17"/>
          <w:rtl w:val="0"/>
        </w:rPr>
        <w:t>4.2.1.1.3.</w:t>
      </w:r>
      <w:r>
        <w:rPr>
          <w:rFonts w:hint="default" w:ascii="Arial" w:hAnsi="Arial" w:eastAsia="Times New Roman" w:cs="Arial"/>
          <w:sz w:val="17"/>
          <w:szCs w:val="17"/>
          <w:rtl w:val="0"/>
        </w:rPr>
        <w:t xml:space="preserve"> 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22BBCF6E">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p>
    <w:p w14:paraId="4C919F0B">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tl w:val="0"/>
        </w:rPr>
        <w:t>4.</w:t>
      </w:r>
      <w:r>
        <w:rPr>
          <w:rFonts w:hint="default" w:ascii="Arial" w:hAnsi="Arial" w:eastAsia="Times New Roman" w:cs="Arial"/>
          <w:b/>
          <w:sz w:val="17"/>
          <w:szCs w:val="17"/>
          <w:rtl w:val="0"/>
        </w:rPr>
        <w:t>3</w:t>
      </w:r>
      <w:r>
        <w:rPr>
          <w:rFonts w:hint="default" w:ascii="Arial" w:hAnsi="Arial" w:eastAsia="Times New Roman" w:cs="Arial"/>
          <w:b/>
          <w:color w:val="000000"/>
          <w:sz w:val="17"/>
          <w:szCs w:val="17"/>
          <w:rtl w:val="0"/>
        </w:rPr>
        <w:t xml:space="preserve">. </w:t>
      </w:r>
      <w:r>
        <w:rPr>
          <w:rFonts w:hint="default" w:ascii="Arial" w:hAnsi="Arial" w:eastAsia="Times New Roman" w:cs="Arial"/>
          <w:b/>
          <w:color w:val="000000"/>
          <w:sz w:val="17"/>
          <w:szCs w:val="17"/>
          <w:rtl w:val="0"/>
        </w:rPr>
        <w:tab/>
      </w:r>
      <w:r>
        <w:rPr>
          <w:rFonts w:hint="default" w:ascii="Arial" w:hAnsi="Arial" w:eastAsia="Times New Roman" w:cs="Arial"/>
          <w:b/>
          <w:color w:val="000000"/>
          <w:sz w:val="17"/>
          <w:szCs w:val="17"/>
          <w:rtl w:val="0"/>
        </w:rPr>
        <w:t xml:space="preserve">SUBCONTRATAÇÃO </w:t>
      </w:r>
    </w:p>
    <w:p w14:paraId="373D956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tl w:val="0"/>
        </w:rPr>
        <w:t>4.</w:t>
      </w:r>
      <w:r>
        <w:rPr>
          <w:rFonts w:hint="default" w:ascii="Arial" w:hAnsi="Arial" w:eastAsia="Times New Roman" w:cs="Arial"/>
          <w:b/>
          <w:sz w:val="17"/>
          <w:szCs w:val="17"/>
          <w:rtl w:val="0"/>
        </w:rPr>
        <w:t>3</w:t>
      </w:r>
      <w:r>
        <w:rPr>
          <w:rFonts w:hint="default" w:ascii="Arial" w:hAnsi="Arial" w:eastAsia="Times New Roman" w:cs="Arial"/>
          <w:b/>
          <w:color w:val="000000"/>
          <w:sz w:val="17"/>
          <w:szCs w:val="17"/>
          <w:rtl w:val="0"/>
        </w:rPr>
        <w:t>.1.</w:t>
      </w:r>
      <w:r>
        <w:rPr>
          <w:rFonts w:hint="default" w:ascii="Arial" w:hAnsi="Arial" w:eastAsia="Times New Roman" w:cs="Arial"/>
          <w:color w:val="000000"/>
          <w:sz w:val="17"/>
          <w:szCs w:val="17"/>
          <w:rtl w:val="0"/>
        </w:rPr>
        <w:tab/>
      </w:r>
      <w:r>
        <w:rPr>
          <w:rFonts w:hint="default" w:ascii="Arial" w:hAnsi="Arial" w:eastAsia="Times New Roman" w:cs="Arial"/>
          <w:color w:val="000000"/>
          <w:sz w:val="17"/>
          <w:szCs w:val="17"/>
          <w:rtl w:val="0"/>
        </w:rPr>
        <w:t>Não é admitida a subcontratação do objeto contratual.</w:t>
      </w:r>
    </w:p>
    <w:p w14:paraId="5554774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tl w:val="0"/>
        </w:rPr>
      </w:pPr>
    </w:p>
    <w:p w14:paraId="3E7A2A1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tl w:val="0"/>
        </w:rPr>
        <w:t>4.</w:t>
      </w:r>
      <w:r>
        <w:rPr>
          <w:rFonts w:hint="default" w:ascii="Arial" w:hAnsi="Arial" w:eastAsia="Times New Roman" w:cs="Arial"/>
          <w:b/>
          <w:sz w:val="17"/>
          <w:szCs w:val="17"/>
          <w:rtl w:val="0"/>
        </w:rPr>
        <w:t>4</w:t>
      </w:r>
      <w:r>
        <w:rPr>
          <w:rFonts w:hint="default" w:ascii="Arial" w:hAnsi="Arial" w:eastAsia="Times New Roman" w:cs="Arial"/>
          <w:b/>
          <w:color w:val="000000"/>
          <w:sz w:val="17"/>
          <w:szCs w:val="17"/>
          <w:rtl w:val="0"/>
        </w:rPr>
        <w:t>.</w:t>
      </w:r>
      <w:r>
        <w:rPr>
          <w:rFonts w:hint="default" w:ascii="Arial" w:hAnsi="Arial" w:eastAsia="Times New Roman" w:cs="Arial"/>
          <w:color w:val="000000"/>
          <w:sz w:val="17"/>
          <w:szCs w:val="17"/>
          <w:rtl w:val="0"/>
        </w:rPr>
        <w:t xml:space="preserve">  </w:t>
      </w:r>
      <w:r>
        <w:rPr>
          <w:rFonts w:hint="default" w:ascii="Arial" w:hAnsi="Arial" w:eastAsia="Times New Roman" w:cs="Arial"/>
          <w:color w:val="000000"/>
          <w:sz w:val="17"/>
          <w:szCs w:val="17"/>
          <w:rtl w:val="0"/>
        </w:rPr>
        <w:tab/>
      </w:r>
      <w:r>
        <w:rPr>
          <w:rFonts w:hint="default" w:ascii="Arial" w:hAnsi="Arial" w:eastAsia="Times New Roman" w:cs="Arial"/>
          <w:b/>
          <w:color w:val="000000"/>
          <w:sz w:val="17"/>
          <w:szCs w:val="17"/>
          <w:rtl w:val="0"/>
        </w:rPr>
        <w:t>GARANTIA DA CONTRATAÇÃO</w:t>
      </w:r>
    </w:p>
    <w:p w14:paraId="2622A15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rtl w:val="0"/>
        </w:rPr>
        <w:t>4.</w:t>
      </w:r>
      <w:r>
        <w:rPr>
          <w:rFonts w:hint="default" w:ascii="Arial" w:hAnsi="Arial" w:eastAsia="Times New Roman" w:cs="Arial"/>
          <w:b/>
          <w:sz w:val="17"/>
          <w:szCs w:val="17"/>
          <w:rtl w:val="0"/>
        </w:rPr>
        <w:t>4</w:t>
      </w:r>
      <w:r>
        <w:rPr>
          <w:rFonts w:hint="default" w:ascii="Arial" w:hAnsi="Arial" w:eastAsia="Times New Roman" w:cs="Arial"/>
          <w:b/>
          <w:color w:val="000000"/>
          <w:sz w:val="17"/>
          <w:szCs w:val="17"/>
          <w:rtl w:val="0"/>
        </w:rPr>
        <w:t>.1.</w:t>
      </w:r>
      <w:r>
        <w:rPr>
          <w:rFonts w:hint="default" w:ascii="Arial" w:hAnsi="Arial" w:eastAsia="Times New Roman" w:cs="Arial"/>
          <w:color w:val="000000"/>
          <w:sz w:val="17"/>
          <w:szCs w:val="17"/>
          <w:rtl w:val="0"/>
        </w:rPr>
        <w:t xml:space="preserve"> </w:t>
      </w:r>
      <w:r>
        <w:rPr>
          <w:rFonts w:hint="default" w:ascii="Arial" w:hAnsi="Arial" w:eastAsia="Times New Roman" w:cs="Arial"/>
          <w:color w:val="000000"/>
          <w:sz w:val="17"/>
          <w:szCs w:val="17"/>
          <w:rtl w:val="0"/>
        </w:rPr>
        <w:tab/>
      </w:r>
      <w:r>
        <w:rPr>
          <w:rFonts w:hint="default" w:ascii="Arial" w:hAnsi="Arial" w:eastAsia="Times New Roman" w:cs="Arial"/>
          <w:color w:val="000000"/>
          <w:sz w:val="17"/>
          <w:szCs w:val="17"/>
          <w:rtl w:val="0"/>
        </w:rPr>
        <w:t xml:space="preserve">Não será exigida garantia de execução da contratação para esse objeto. </w:t>
      </w:r>
    </w:p>
    <w:p w14:paraId="5EFE1728">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tl w:val="0"/>
        </w:rPr>
      </w:pPr>
    </w:p>
    <w:p w14:paraId="7FD7042D">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tl w:val="0"/>
        </w:rPr>
        <w:t xml:space="preserve">5. </w:t>
      </w:r>
      <w:r>
        <w:rPr>
          <w:rFonts w:hint="default" w:ascii="Arial" w:hAnsi="Arial" w:eastAsia="Times New Roman" w:cs="Arial"/>
          <w:b/>
          <w:color w:val="000000"/>
          <w:sz w:val="17"/>
          <w:szCs w:val="17"/>
          <w:rtl w:val="0"/>
        </w:rPr>
        <w:tab/>
      </w:r>
      <w:r>
        <w:rPr>
          <w:rFonts w:hint="default" w:ascii="Arial" w:hAnsi="Arial" w:eastAsia="Times New Roman" w:cs="Arial"/>
          <w:b/>
          <w:color w:val="000000"/>
          <w:sz w:val="17"/>
          <w:szCs w:val="17"/>
          <w:rtl w:val="0"/>
        </w:rPr>
        <w:t>MODELO DE EXECUÇÃO CONTRATUAL</w:t>
      </w:r>
    </w:p>
    <w:p w14:paraId="28DAD86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tl w:val="0"/>
        </w:rPr>
        <w:t>5.1. DAS OBRIGAÇÕES DA</w:t>
      </w:r>
      <w:r>
        <w:rPr>
          <w:rFonts w:hint="default" w:ascii="Arial" w:hAnsi="Arial" w:eastAsia="Times New Roman" w:cs="Arial"/>
          <w:b/>
          <w:sz w:val="17"/>
          <w:szCs w:val="17"/>
          <w:rtl w:val="0"/>
        </w:rPr>
        <w:t xml:space="preserve"> CONTRATADA:</w:t>
      </w:r>
    </w:p>
    <w:p w14:paraId="6D59B00D">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 </w:t>
      </w:r>
      <w:r>
        <w:rPr>
          <w:rFonts w:hint="default" w:ascii="Arial" w:hAnsi="Arial" w:eastAsia="Times New Roman" w:cs="Arial"/>
          <w:b/>
          <w:sz w:val="17"/>
          <w:szCs w:val="17"/>
          <w:rtl w:val="0"/>
        </w:rPr>
        <w:tab/>
      </w:r>
      <w:r>
        <w:rPr>
          <w:rFonts w:hint="default" w:ascii="Arial" w:hAnsi="Arial" w:eastAsia="Times New Roman" w:cs="Arial"/>
          <w:sz w:val="17"/>
          <w:szCs w:val="17"/>
          <w:rtl w:val="0"/>
        </w:rPr>
        <w:t xml:space="preserve">A CONTRATADA deverá arcar com todas as despesas, diretas e indiretas, decorrentes do cumprimento das obrigações assumidas, sem qualquer ônus à CONTRATANTE; </w:t>
      </w:r>
    </w:p>
    <w:p w14:paraId="694AAAF9">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5.1.2.</w:t>
      </w:r>
      <w:r>
        <w:rPr>
          <w:rFonts w:hint="default" w:ascii="Arial" w:hAnsi="Arial" w:eastAsia="Times New Roman" w:cs="Arial"/>
          <w:sz w:val="17"/>
          <w:szCs w:val="17"/>
          <w:rtl w:val="0"/>
        </w:rPr>
        <w:t xml:space="preserve"> A CONTRATADA será responsável pela observância de toda legislação pertinente direta ou indiretamente aplicável ao objeto deste termo de referência.</w:t>
      </w:r>
    </w:p>
    <w:p w14:paraId="3AFF3ED3">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5.1.3.</w:t>
      </w:r>
      <w:r>
        <w:rPr>
          <w:rFonts w:hint="default" w:ascii="Arial" w:hAnsi="Arial" w:eastAsia="Times New Roman" w:cs="Arial"/>
          <w:sz w:val="17"/>
          <w:szCs w:val="17"/>
          <w:rtl w:val="0"/>
        </w:rPr>
        <w:t xml:space="preserve"> A CONTRATADA será a única responsável por danos e prejuízos, de qualquer natureza, causada a CONTRATANTE ou a terceiros, decorrentes da execução do objeto deste Termo de Referência, isentando a CONTRATANTE de todas as reclamações que porventura possam surgir, ainda que tais reclamações sejam resultantes de atos dos seus prepostos ou de quaisquer pessoas físicas ou jurídicas, empregadas ou ajustadas na execução do objeto;</w:t>
      </w:r>
    </w:p>
    <w:p w14:paraId="601AD975">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5.1.4. </w:t>
      </w:r>
      <w:r>
        <w:rPr>
          <w:rFonts w:hint="default" w:ascii="Arial" w:hAnsi="Arial" w:eastAsia="Times New Roman" w:cs="Arial"/>
          <w:sz w:val="17"/>
          <w:szCs w:val="17"/>
          <w:rtl w:val="0"/>
        </w:rPr>
        <w:t>A aceitação do objeto somente será efetivada após ter sido o mesmo considerado satisfatório pela fiscalização do(s) contrato(s), ficando a empresa fornecedora obrigada a substituí-lo, em parte ou integralmente, em tempo hábil, sempre que ocorrerem falhas.</w:t>
      </w:r>
    </w:p>
    <w:p w14:paraId="5BC691A3">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5.1.5. </w:t>
      </w:r>
      <w:r>
        <w:rPr>
          <w:rFonts w:hint="default" w:ascii="Arial" w:hAnsi="Arial" w:eastAsia="Times New Roman" w:cs="Arial"/>
          <w:sz w:val="17"/>
          <w:szCs w:val="17"/>
          <w:rtl w:val="0"/>
        </w:rPr>
        <w:t>A CONTRATADA se responsabiliza por todas as despesas decorrentes do objeto deste Termo de Referência, tais como salários, encargos sociais, previdenciários, trabalhistas, comerciais, seguros de acidentes, tributos, indenizações, vale-transporte, vale-refeição e outros de seus funcionários e técnicos.</w:t>
      </w:r>
    </w:p>
    <w:p w14:paraId="563C10BD">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5.1.6.</w:t>
      </w:r>
      <w:r>
        <w:rPr>
          <w:rFonts w:hint="default" w:ascii="Arial" w:hAnsi="Arial" w:eastAsia="Times New Roman" w:cs="Arial"/>
          <w:sz w:val="17"/>
          <w:szCs w:val="17"/>
          <w:rtl w:val="0"/>
        </w:rPr>
        <w:t xml:space="preserve"> </w:t>
      </w:r>
      <w:r>
        <w:rPr>
          <w:rFonts w:hint="default" w:ascii="Arial" w:hAnsi="Arial" w:eastAsia="Times New Roman" w:cs="Arial"/>
          <w:sz w:val="17"/>
          <w:szCs w:val="17"/>
          <w:rtl w:val="0"/>
        </w:rPr>
        <w:tab/>
      </w:r>
      <w:r>
        <w:rPr>
          <w:rFonts w:hint="default" w:ascii="Arial" w:hAnsi="Arial" w:eastAsia="Times New Roman" w:cs="Arial"/>
          <w:sz w:val="17"/>
          <w:szCs w:val="17"/>
          <w:rtl w:val="0"/>
        </w:rPr>
        <w:t>A CONTRATADA se responsabilizará pela montagem e desmontagem dos geradores que devem ter potência e capacidades adequadas para atender à demanda máxima prevista durante o evento, considerando os picos de consumo e variações ao longo da programação</w:t>
      </w:r>
    </w:p>
    <w:p w14:paraId="00738BC6">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5.1.7. </w:t>
      </w:r>
      <w:r>
        <w:rPr>
          <w:rFonts w:hint="default" w:ascii="Arial" w:hAnsi="Arial" w:eastAsia="Times New Roman" w:cs="Arial"/>
          <w:sz w:val="17"/>
          <w:szCs w:val="17"/>
          <w:rtl w:val="0"/>
        </w:rPr>
        <w:t>Os equipamentos deverão aptos para a operação 12 (doze) horas antes do início programado para o evento, ou em horário determinado pela Secretaria de Cultura e Turismo de Cataguases;</w:t>
      </w:r>
    </w:p>
    <w:p w14:paraId="09D7447C">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5.1.8. </w:t>
      </w:r>
      <w:r>
        <w:rPr>
          <w:rFonts w:hint="default" w:ascii="Arial" w:hAnsi="Arial" w:eastAsia="Times New Roman" w:cs="Arial"/>
          <w:sz w:val="17"/>
          <w:szCs w:val="17"/>
          <w:rtl w:val="0"/>
        </w:rPr>
        <w:t>A CONTRATADA deverá emitir todas as ARTs (Anotação de Responsabilidade Técnica) necessárias e de sua competência;</w:t>
      </w:r>
    </w:p>
    <w:p w14:paraId="7B0DE1A0">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5.1.9. </w:t>
      </w:r>
      <w:r>
        <w:rPr>
          <w:rFonts w:hint="default" w:ascii="Arial" w:hAnsi="Arial" w:eastAsia="Times New Roman" w:cs="Arial"/>
          <w:sz w:val="17"/>
          <w:szCs w:val="17"/>
          <w:rtl w:val="0"/>
        </w:rPr>
        <w:t xml:space="preserve">A empresa é responsável pela substituição imediata de todos os equipamentos e estruturas danificadas durante o evento; </w:t>
      </w:r>
    </w:p>
    <w:p w14:paraId="0000005F">
      <w:pPr>
        <w:pageBreakBefore w:val="0"/>
        <w:tabs>
          <w:tab w:val="left" w:pos="426"/>
        </w:tabs>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5.1.10.</w:t>
      </w:r>
      <w:r>
        <w:rPr>
          <w:rFonts w:hint="default" w:ascii="Arial" w:hAnsi="Arial" w:eastAsia="Times New Roman" w:cs="Arial"/>
          <w:sz w:val="17"/>
          <w:szCs w:val="17"/>
          <w:rtl w:val="0"/>
        </w:rPr>
        <w:t xml:space="preserve"> A CONTRATADA deverá responder por quaisquer danos causados diretamente ao Poder Executivo Municipal ou a terceiros, quando estes tenham sido ocasionados por seus profissionais credenciados para a execução do serviço.</w:t>
      </w:r>
    </w:p>
    <w:p w14:paraId="19567183">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5.1.11. </w:t>
      </w:r>
      <w:r>
        <w:rPr>
          <w:rFonts w:hint="default" w:ascii="Arial" w:hAnsi="Arial" w:eastAsia="Times New Roman" w:cs="Arial"/>
          <w:sz w:val="17"/>
          <w:szCs w:val="17"/>
          <w:rtl w:val="0"/>
        </w:rPr>
        <w:t>A CONTRATADA deverá submeter-se à fiscalização da contratante, através do setor competente, para verificação da qualidade no serviço prestado, orientando, fiscalizando e intervindo ao seu exclusivo interesse, com a finalidade de garantir o exato cumprimento das condições pactuadas;</w:t>
      </w:r>
    </w:p>
    <w:p w14:paraId="00000061">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5.1.12.  </w:t>
      </w:r>
      <w:r>
        <w:rPr>
          <w:rFonts w:hint="default" w:ascii="Arial" w:hAnsi="Arial" w:eastAsia="Times New Roman" w:cs="Arial"/>
          <w:sz w:val="17"/>
          <w:szCs w:val="17"/>
          <w:rtl w:val="0"/>
        </w:rPr>
        <w:t>A CONTRATADA deverá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E5E0873">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5.1.13.</w:t>
      </w:r>
      <w:r>
        <w:rPr>
          <w:rFonts w:hint="default" w:ascii="Arial" w:hAnsi="Arial" w:eastAsia="Times New Roman" w:cs="Arial"/>
          <w:sz w:val="17"/>
          <w:szCs w:val="17"/>
          <w:rtl w:val="0"/>
        </w:rPr>
        <w:t xml:space="preserve"> A CONTRATADA deverá inserir nas observações da Nota Fiscal para pagamento dos serviços prestados o número da Autorização de Fornecimento referente ao serviço.</w:t>
      </w:r>
    </w:p>
    <w:p w14:paraId="00000063">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5.1.14. </w:t>
      </w:r>
      <w:r>
        <w:rPr>
          <w:rFonts w:hint="default" w:ascii="Arial" w:hAnsi="Arial" w:eastAsia="Times New Roman" w:cs="Arial"/>
          <w:sz w:val="17"/>
          <w:szCs w:val="17"/>
          <w:rtl w:val="0"/>
        </w:rPr>
        <w:t>A CONTRATADA é responsável pela alimentação e acomodação de todos os seus funcionários diretos e indiretos, devendo zelar pela limpeza dos locais de consumo de refeições, inclusive fornecimento de água para os mesmos;</w:t>
      </w:r>
    </w:p>
    <w:p w14:paraId="0B3ACDA8">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5.1.15. </w:t>
      </w:r>
      <w:r>
        <w:rPr>
          <w:rFonts w:hint="default" w:ascii="Arial" w:hAnsi="Arial" w:eastAsia="Times New Roman" w:cs="Arial"/>
          <w:sz w:val="17"/>
          <w:szCs w:val="17"/>
          <w:rtl w:val="0"/>
        </w:rPr>
        <w:t>A CONTRATADA deverá ter disponibilidade para atender a eventos programados e demandas emergenciais, considerando emergencial solicitação em até 24 (vinte quatro) horas de antecedencia.</w:t>
      </w:r>
    </w:p>
    <w:p w14:paraId="677C1A55">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5.1.16. </w:t>
      </w:r>
      <w:r>
        <w:rPr>
          <w:rFonts w:hint="default" w:ascii="Arial" w:hAnsi="Arial" w:eastAsia="Times New Roman" w:cs="Arial"/>
          <w:sz w:val="17"/>
          <w:szCs w:val="17"/>
          <w:rtl w:val="0"/>
        </w:rPr>
        <w:t>Após a prestação dos serviços, a CONTRATADA enviará à CONTRATANTE a nota fiscal correspondente ao volume de serviços prestados para conferência e aprovação, através do servidor responsável legalmente constituído para esse fim.</w:t>
      </w:r>
    </w:p>
    <w:p w14:paraId="213ACF6A">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5.1.17.</w:t>
      </w:r>
      <w:r>
        <w:rPr>
          <w:rFonts w:hint="default" w:ascii="Arial" w:hAnsi="Arial" w:eastAsia="Times New Roman" w:cs="Arial"/>
          <w:sz w:val="17"/>
          <w:szCs w:val="17"/>
          <w:rtl w:val="0"/>
        </w:rPr>
        <w:t xml:space="preserve"> Disponibilidade de equipamentos e tecnologias adequadas à realização dos eventos;</w:t>
      </w:r>
    </w:p>
    <w:p w14:paraId="7A835307">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5.1.18.</w:t>
      </w:r>
      <w:r>
        <w:rPr>
          <w:rFonts w:hint="default" w:ascii="Arial" w:hAnsi="Arial" w:eastAsia="Times New Roman" w:cs="Arial"/>
          <w:sz w:val="17"/>
          <w:szCs w:val="17"/>
          <w:rtl w:val="0"/>
        </w:rPr>
        <w:t xml:space="preserve"> Deverão ser seguidos todos os padrões técnicos necessários à execução dos serviços, atendendo as Normas da ABNT (Associação Brasileira de Normas Técnicas), bem como serem obedecidas às Normas de Segurança no Trabalho principalmente aos equipamentos de proteção individual de seus funcionários; </w:t>
      </w:r>
    </w:p>
    <w:p w14:paraId="6F9101BC">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p>
    <w:p w14:paraId="75437CE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sz w:val="17"/>
          <w:szCs w:val="17"/>
          <w:rtl w:val="0"/>
        </w:rPr>
        <w:t>5</w:t>
      </w:r>
      <w:r>
        <w:rPr>
          <w:rFonts w:hint="default" w:ascii="Arial" w:hAnsi="Arial" w:eastAsia="Times New Roman" w:cs="Arial"/>
          <w:b/>
          <w:color w:val="000000"/>
          <w:sz w:val="17"/>
          <w:szCs w:val="17"/>
          <w:rtl w:val="0"/>
        </w:rPr>
        <w:t>.2.</w:t>
      </w:r>
      <w:r>
        <w:rPr>
          <w:rFonts w:hint="default" w:ascii="Arial" w:hAnsi="Arial" w:eastAsia="Times New Roman" w:cs="Arial"/>
          <w:b/>
          <w:color w:val="000000"/>
          <w:sz w:val="17"/>
          <w:szCs w:val="17"/>
          <w:rtl w:val="0"/>
        </w:rPr>
        <w:tab/>
      </w:r>
      <w:r>
        <w:rPr>
          <w:rFonts w:hint="default" w:ascii="Arial" w:hAnsi="Arial" w:eastAsia="Times New Roman" w:cs="Arial"/>
          <w:b/>
          <w:color w:val="000000"/>
          <w:sz w:val="17"/>
          <w:szCs w:val="17"/>
          <w:rtl w:val="0"/>
        </w:rPr>
        <w:t>DAS OBRIGAÇÕES DA CONTRATANTE</w:t>
      </w:r>
    </w:p>
    <w:p w14:paraId="62D3F93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w:t>
      </w:r>
      <w:r>
        <w:rPr>
          <w:rFonts w:hint="default" w:ascii="Arial" w:hAnsi="Arial" w:eastAsia="Times New Roman" w:cs="Arial"/>
          <w:b/>
          <w:color w:val="000000"/>
          <w:sz w:val="17"/>
          <w:szCs w:val="17"/>
          <w:rtl w:val="0"/>
        </w:rPr>
        <w:t>.2.1.</w:t>
      </w:r>
      <w:r>
        <w:rPr>
          <w:rFonts w:hint="default" w:ascii="Arial" w:hAnsi="Arial" w:eastAsia="Times New Roman" w:cs="Arial"/>
          <w:sz w:val="17"/>
          <w:szCs w:val="17"/>
          <w:rtl w:val="0"/>
        </w:rPr>
        <w:t xml:space="preserve"> </w:t>
      </w:r>
      <w:r>
        <w:rPr>
          <w:rFonts w:hint="default" w:ascii="Arial" w:hAnsi="Arial" w:eastAsia="Times New Roman" w:cs="Arial"/>
          <w:color w:val="000000"/>
          <w:sz w:val="17"/>
          <w:szCs w:val="17"/>
          <w:rtl w:val="0"/>
        </w:rPr>
        <w:t>Realizar a fiscalização de toda a execução do contrato, para que sejam cumpridas todas as condições estabelecidas nele, de modo a assegurar os melhores resultados para a Administração.</w:t>
      </w:r>
    </w:p>
    <w:p w14:paraId="568FD0C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color w:val="000000"/>
          <w:sz w:val="17"/>
          <w:szCs w:val="17"/>
        </w:rPr>
      </w:pPr>
      <w:r>
        <w:rPr>
          <w:rFonts w:hint="default" w:ascii="Arial" w:hAnsi="Arial" w:eastAsia="Times New Roman" w:cs="Arial"/>
          <w:b/>
          <w:sz w:val="17"/>
          <w:szCs w:val="17"/>
          <w:rtl w:val="0"/>
        </w:rPr>
        <w:t>5</w:t>
      </w:r>
      <w:r>
        <w:rPr>
          <w:rFonts w:hint="default" w:ascii="Arial" w:hAnsi="Arial" w:eastAsia="Times New Roman" w:cs="Arial"/>
          <w:b/>
          <w:color w:val="000000"/>
          <w:sz w:val="17"/>
          <w:szCs w:val="17"/>
          <w:rtl w:val="0"/>
        </w:rPr>
        <w:t>.2.</w:t>
      </w:r>
      <w:r>
        <w:rPr>
          <w:rFonts w:hint="default" w:ascii="Arial" w:hAnsi="Arial" w:eastAsia="Times New Roman" w:cs="Arial"/>
          <w:b/>
          <w:sz w:val="17"/>
          <w:szCs w:val="17"/>
          <w:rtl w:val="0"/>
        </w:rPr>
        <w:t>2</w:t>
      </w:r>
      <w:r>
        <w:rPr>
          <w:rFonts w:hint="default" w:ascii="Arial" w:hAnsi="Arial" w:eastAsia="Times New Roman" w:cs="Arial"/>
          <w:b/>
          <w:color w:val="000000"/>
          <w:sz w:val="17"/>
          <w:szCs w:val="17"/>
          <w:rtl w:val="0"/>
        </w:rPr>
        <w:t>.</w:t>
      </w:r>
      <w:r>
        <w:rPr>
          <w:rFonts w:hint="default" w:ascii="Arial" w:hAnsi="Arial" w:eastAsia="Times New Roman" w:cs="Arial"/>
          <w:color w:val="000000"/>
          <w:sz w:val="17"/>
          <w:szCs w:val="17"/>
          <w:rtl w:val="0"/>
        </w:rPr>
        <w:t xml:space="preserve"> A CONTRATANTE deverá Notificar caso necessário a CONTRATADA através do setor de Licitações, caso observada irregularidade na execução do objeto do contrato;</w:t>
      </w:r>
    </w:p>
    <w:p w14:paraId="26A6A4E8">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5.2.3.</w:t>
      </w:r>
      <w:r>
        <w:rPr>
          <w:rFonts w:hint="default" w:ascii="Arial" w:hAnsi="Arial" w:eastAsia="Times New Roman" w:cs="Arial"/>
          <w:sz w:val="17"/>
          <w:szCs w:val="17"/>
          <w:rtl w:val="0"/>
        </w:rPr>
        <w:t xml:space="preserve"> Havendo necessidade de cancelamento ou de transferência da data do evento, o órgão demandante deverá notificar formalmente a empresa, no prazo de até 24 horas anteriores ao início dos serviços (horário inicial do evento ou da instalação/montagem, o que ocorrer primeiro). A notificação deve ser feita através do e-mail com confirmação de leitura.</w:t>
      </w:r>
    </w:p>
    <w:p w14:paraId="0BD386B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tl w:val="0"/>
        </w:rPr>
      </w:pPr>
    </w:p>
    <w:p w14:paraId="357D3F2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sz w:val="17"/>
          <w:szCs w:val="17"/>
          <w:rtl w:val="0"/>
        </w:rPr>
        <w:t xml:space="preserve">6. </w:t>
      </w:r>
      <w:r>
        <w:rPr>
          <w:rFonts w:hint="default" w:ascii="Arial" w:hAnsi="Arial" w:eastAsia="Times New Roman" w:cs="Arial"/>
          <w:b/>
          <w:color w:val="000000"/>
          <w:sz w:val="17"/>
          <w:szCs w:val="17"/>
          <w:rtl w:val="0"/>
        </w:rPr>
        <w:t>DA FISCALIZAÇÃO DO CONTRATO</w:t>
      </w:r>
    </w:p>
    <w:p w14:paraId="71884D9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sz w:val="17"/>
          <w:szCs w:val="17"/>
          <w:rtl w:val="0"/>
        </w:rPr>
        <w:t>6.1.</w:t>
      </w:r>
      <w:r>
        <w:rPr>
          <w:rFonts w:hint="default" w:ascii="Arial" w:hAnsi="Arial" w:eastAsia="Times New Roman" w:cs="Arial"/>
          <w:sz w:val="17"/>
          <w:szCs w:val="17"/>
          <w:rtl w:val="0"/>
        </w:rPr>
        <w:t xml:space="preserve"> </w:t>
      </w:r>
      <w:r>
        <w:rPr>
          <w:rFonts w:hint="default" w:ascii="Arial" w:hAnsi="Arial" w:eastAsia="Times New Roman" w:cs="Arial"/>
          <w:color w:val="000000"/>
          <w:sz w:val="17"/>
          <w:szCs w:val="17"/>
          <w:rtl w:val="0"/>
        </w:rPr>
        <w:t xml:space="preserve">A fiscalização do contrato ficará a cargo da </w:t>
      </w:r>
      <w:r>
        <w:rPr>
          <w:rFonts w:hint="default" w:ascii="Arial" w:hAnsi="Arial" w:eastAsia="Times New Roman" w:cs="Arial"/>
          <w:sz w:val="17"/>
          <w:szCs w:val="17"/>
          <w:rtl w:val="0"/>
        </w:rPr>
        <w:t>servidora da Sra</w:t>
      </w:r>
      <w:r>
        <w:rPr>
          <w:rFonts w:hint="default" w:ascii="Arial" w:hAnsi="Arial" w:eastAsia="Times New Roman" w:cs="Arial"/>
          <w:color w:val="000000"/>
          <w:sz w:val="17"/>
          <w:szCs w:val="17"/>
          <w:rtl w:val="0"/>
        </w:rPr>
        <w:t>. Carolina Paiva Neves Frade da Cruz</w:t>
      </w:r>
      <w:r>
        <w:rPr>
          <w:rFonts w:hint="default" w:ascii="Arial" w:hAnsi="Arial" w:eastAsia="Times New Roman" w:cs="Arial"/>
          <w:sz w:val="17"/>
          <w:szCs w:val="17"/>
          <w:rtl w:val="0"/>
        </w:rPr>
        <w:t xml:space="preserve">, representando a Secretária de Cultura e Turismo. </w:t>
      </w:r>
    </w:p>
    <w:p w14:paraId="0574603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tl w:val="0"/>
        </w:rPr>
      </w:pPr>
    </w:p>
    <w:p w14:paraId="5889C1A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sz w:val="17"/>
          <w:szCs w:val="17"/>
          <w:rtl w:val="0"/>
        </w:rPr>
        <w:t xml:space="preserve">7. </w:t>
      </w:r>
      <w:r>
        <w:rPr>
          <w:rFonts w:hint="default" w:ascii="Arial" w:hAnsi="Arial" w:eastAsia="Times New Roman" w:cs="Arial"/>
          <w:b/>
          <w:color w:val="000000"/>
          <w:sz w:val="17"/>
          <w:szCs w:val="17"/>
          <w:rtl w:val="0"/>
        </w:rPr>
        <w:t>CRITÉRIOS DE MEDIÇÃO E PAGAMENTO</w:t>
      </w:r>
    </w:p>
    <w:p w14:paraId="0C7D553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r>
        <w:rPr>
          <w:rFonts w:hint="default" w:ascii="Arial" w:hAnsi="Arial" w:eastAsia="Times New Roman" w:cs="Arial"/>
          <w:b/>
          <w:sz w:val="17"/>
          <w:szCs w:val="17"/>
          <w:rtl w:val="0"/>
        </w:rPr>
        <w:t>7.1.</w:t>
      </w:r>
      <w:r>
        <w:rPr>
          <w:rFonts w:hint="default" w:ascii="Arial" w:hAnsi="Arial" w:cs="Arial"/>
          <w:sz w:val="17"/>
          <w:szCs w:val="17"/>
          <w:rtl w:val="0"/>
        </w:rPr>
        <w:t xml:space="preserve">  </w:t>
      </w:r>
      <w:r>
        <w:rPr>
          <w:rFonts w:hint="default" w:ascii="Arial" w:hAnsi="Arial" w:eastAsia="Times New Roman" w:cs="Arial"/>
          <w:sz w:val="17"/>
          <w:szCs w:val="17"/>
          <w:rtl w:val="0"/>
        </w:rPr>
        <w:t>Após a prestação do serviço deverá ser enviada a respectiva Nota Fiscal.</w:t>
      </w:r>
    </w:p>
    <w:p w14:paraId="0A6300C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r>
        <w:rPr>
          <w:rFonts w:hint="default" w:ascii="Arial" w:hAnsi="Arial" w:eastAsia="Times New Roman" w:cs="Arial"/>
          <w:b/>
          <w:sz w:val="17"/>
          <w:szCs w:val="17"/>
          <w:rtl w:val="0"/>
        </w:rPr>
        <w:t xml:space="preserve">7.2. </w:t>
      </w:r>
      <w:r>
        <w:rPr>
          <w:rFonts w:hint="default" w:ascii="Arial" w:hAnsi="Arial" w:eastAsia="Times New Roman" w:cs="Arial"/>
          <w:color w:val="000000"/>
          <w:sz w:val="17"/>
          <w:szCs w:val="17"/>
          <w:rtl w:val="0"/>
        </w:rPr>
        <w:t>Havendo erro na apresentação da Nota Fiscal, o prazo para pagamento ficará sobrestado até que a Contratada regularize o erro.</w:t>
      </w:r>
    </w:p>
    <w:p w14:paraId="2771418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r>
        <w:rPr>
          <w:rFonts w:hint="default" w:ascii="Arial" w:hAnsi="Arial" w:eastAsia="Times New Roman" w:cs="Arial"/>
          <w:b/>
          <w:sz w:val="17"/>
          <w:szCs w:val="17"/>
          <w:rtl w:val="0"/>
        </w:rPr>
        <w:t xml:space="preserve">7.3. </w:t>
      </w:r>
      <w:r>
        <w:rPr>
          <w:rFonts w:hint="default" w:ascii="Arial" w:hAnsi="Arial" w:eastAsia="Times New Roman" w:cs="Arial"/>
          <w:sz w:val="17"/>
          <w:szCs w:val="17"/>
          <w:rtl w:val="0"/>
        </w:rPr>
        <w:t>Em caso de não cumprimento do objeto conforme licitado e/ou infrações, s</w:t>
      </w:r>
      <w:r>
        <w:rPr>
          <w:rFonts w:hint="default" w:ascii="Arial" w:hAnsi="Arial" w:eastAsia="Times New Roman" w:cs="Arial"/>
          <w:color w:val="000000"/>
          <w:sz w:val="17"/>
          <w:szCs w:val="17"/>
          <w:rtl w:val="0"/>
        </w:rPr>
        <w:t xml:space="preserve">erá aplicado ao responsável às sanções previstas na Lei Federal 14.133/21. </w:t>
      </w:r>
    </w:p>
    <w:p w14:paraId="75C26D9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tl w:val="0"/>
        </w:rPr>
      </w:pPr>
    </w:p>
    <w:p w14:paraId="4527A97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sz w:val="17"/>
          <w:szCs w:val="17"/>
          <w:rtl w:val="0"/>
        </w:rPr>
        <w:t xml:space="preserve">8. </w:t>
      </w:r>
      <w:r>
        <w:rPr>
          <w:rFonts w:hint="default" w:ascii="Arial" w:hAnsi="Arial" w:eastAsia="Times New Roman" w:cs="Arial"/>
          <w:b/>
          <w:color w:val="000000"/>
          <w:sz w:val="17"/>
          <w:szCs w:val="17"/>
          <w:rtl w:val="0"/>
        </w:rPr>
        <w:t>LIQUIDAÇÃO</w:t>
      </w:r>
    </w:p>
    <w:p w14:paraId="605A4D14">
      <w:pPr>
        <w:pageBreakBefore w:val="0"/>
        <w:pBdr>
          <w:top w:val="none" w:color="auto" w:sz="0" w:space="0"/>
          <w:left w:val="none" w:color="auto" w:sz="0" w:space="0"/>
          <w:bottom w:val="none" w:color="auto" w:sz="0" w:space="0"/>
          <w:right w:val="none" w:color="auto" w:sz="0" w:space="0"/>
          <w:between w:val="none" w:color="auto" w:sz="0" w:space="0"/>
        </w:pBdr>
        <w:tabs>
          <w:tab w:val="left" w:pos="284"/>
        </w:tabs>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color w:val="000000"/>
          <w:sz w:val="17"/>
          <w:szCs w:val="17"/>
          <w:rtl w:val="0"/>
        </w:rPr>
      </w:pPr>
      <w:r>
        <w:rPr>
          <w:rFonts w:hint="default" w:ascii="Arial" w:hAnsi="Arial" w:eastAsia="Times New Roman" w:cs="Arial"/>
          <w:b/>
          <w:sz w:val="17"/>
          <w:szCs w:val="17"/>
          <w:rtl w:val="0"/>
        </w:rPr>
        <w:t>8.1</w:t>
      </w:r>
      <w:r>
        <w:rPr>
          <w:rFonts w:hint="default" w:ascii="Arial" w:hAnsi="Arial" w:eastAsia="Times New Roman" w:cs="Arial"/>
          <w:sz w:val="17"/>
          <w:szCs w:val="17"/>
          <w:rtl w:val="0"/>
        </w:rPr>
        <w:t xml:space="preserve">. </w:t>
      </w:r>
      <w:r>
        <w:rPr>
          <w:rFonts w:hint="default" w:ascii="Arial" w:hAnsi="Arial" w:eastAsia="Times New Roman" w:cs="Arial"/>
          <w:color w:val="000000"/>
          <w:sz w:val="17"/>
          <w:szCs w:val="17"/>
          <w:rtl w:val="0"/>
        </w:rPr>
        <w:t>Quando for constatada qualquer irregularidade na Nota Fiscal, será imediatamente solicitada à empresa a correção quando couber, ou ainda pertinente regularização, que deverá ser encaminhada no prazo máximo de 02 dias úteis.</w:t>
      </w:r>
    </w:p>
    <w:p w14:paraId="7F4FDEDD">
      <w:pPr>
        <w:pageBreakBefore w:val="0"/>
        <w:pBdr>
          <w:top w:val="none" w:color="auto" w:sz="0" w:space="0"/>
          <w:left w:val="none" w:color="auto" w:sz="0" w:space="0"/>
          <w:bottom w:val="none" w:color="auto" w:sz="0" w:space="0"/>
          <w:right w:val="none" w:color="auto" w:sz="0" w:space="0"/>
          <w:between w:val="none" w:color="auto" w:sz="0" w:space="0"/>
        </w:pBdr>
        <w:tabs>
          <w:tab w:val="left" w:pos="284"/>
        </w:tabs>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color w:val="000000"/>
          <w:sz w:val="17"/>
          <w:szCs w:val="17"/>
          <w:rtl w:val="0"/>
        </w:rPr>
      </w:pPr>
    </w:p>
    <w:p w14:paraId="2EDBEDF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sz w:val="17"/>
          <w:szCs w:val="17"/>
          <w:rtl w:val="0"/>
        </w:rPr>
        <w:t xml:space="preserve">9. </w:t>
      </w:r>
      <w:r>
        <w:rPr>
          <w:rFonts w:hint="default" w:ascii="Arial" w:hAnsi="Arial" w:eastAsia="Times New Roman" w:cs="Arial"/>
          <w:b/>
          <w:color w:val="000000"/>
          <w:sz w:val="17"/>
          <w:szCs w:val="17"/>
          <w:rtl w:val="0"/>
        </w:rPr>
        <w:t>PAGAMENTO</w:t>
      </w:r>
    </w:p>
    <w:p w14:paraId="5E05FDA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tl w:val="0"/>
        </w:rPr>
      </w:pPr>
      <w:r>
        <w:rPr>
          <w:rFonts w:hint="default" w:ascii="Arial" w:hAnsi="Arial" w:eastAsia="Times New Roman" w:cs="Arial"/>
          <w:b/>
          <w:sz w:val="17"/>
          <w:szCs w:val="17"/>
          <w:rtl w:val="0"/>
        </w:rPr>
        <w:t>9.1.</w:t>
      </w:r>
      <w:r>
        <w:rPr>
          <w:rFonts w:hint="default" w:ascii="Arial" w:hAnsi="Arial" w:eastAsia="Times New Roman" w:cs="Arial"/>
          <w:sz w:val="17"/>
          <w:szCs w:val="17"/>
          <w:rtl w:val="0"/>
        </w:rPr>
        <w:t xml:space="preserve"> </w:t>
      </w:r>
      <w:r>
        <w:rPr>
          <w:rFonts w:hint="default" w:ascii="Arial" w:hAnsi="Arial" w:eastAsia="Times New Roman" w:cs="Arial"/>
          <w:color w:val="000000"/>
          <w:sz w:val="17"/>
          <w:szCs w:val="17"/>
          <w:rtl w:val="0"/>
        </w:rPr>
        <w:t>O pagamento decorrente da concretização desta licitação será efetuado pelo Setor Financeiro da Prefeitura Municipal de Cataguases por processo legal</w:t>
      </w:r>
      <w:r>
        <w:rPr>
          <w:rFonts w:hint="default" w:ascii="Arial" w:hAnsi="Arial" w:eastAsia="Times New Roman" w:cs="Arial"/>
          <w:sz w:val="17"/>
          <w:szCs w:val="17"/>
          <w:rtl w:val="0"/>
        </w:rPr>
        <w:t>.</w:t>
      </w:r>
    </w:p>
    <w:p w14:paraId="75E23953">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tl w:val="0"/>
        </w:rPr>
      </w:pPr>
    </w:p>
    <w:p w14:paraId="1F764EB5">
      <w:pPr>
        <w:pageBreakBefore w:val="0"/>
        <w:pBdr>
          <w:top w:val="none" w:color="auto" w:sz="0" w:space="0"/>
          <w:left w:val="none" w:color="auto" w:sz="0" w:space="0"/>
          <w:bottom w:val="none" w:color="auto" w:sz="0" w:space="0"/>
          <w:right w:val="none" w:color="auto" w:sz="0" w:space="0"/>
          <w:between w:val="none" w:color="auto" w:sz="0" w:space="0"/>
        </w:pBdr>
        <w:tabs>
          <w:tab w:val="left" w:pos="284"/>
        </w:tabs>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color w:val="000000"/>
          <w:sz w:val="17"/>
          <w:szCs w:val="17"/>
        </w:rPr>
      </w:pPr>
      <w:r>
        <w:rPr>
          <w:rFonts w:hint="default" w:ascii="Arial" w:hAnsi="Arial" w:eastAsia="Times New Roman" w:cs="Arial"/>
          <w:b/>
          <w:sz w:val="17"/>
          <w:szCs w:val="17"/>
          <w:rtl w:val="0"/>
        </w:rPr>
        <w:t xml:space="preserve">10. </w:t>
      </w:r>
      <w:r>
        <w:rPr>
          <w:rFonts w:hint="default" w:ascii="Arial" w:hAnsi="Arial" w:eastAsia="Times New Roman" w:cs="Arial"/>
          <w:b/>
          <w:color w:val="000000"/>
          <w:sz w:val="17"/>
          <w:szCs w:val="17"/>
          <w:rtl w:val="0"/>
        </w:rPr>
        <w:t xml:space="preserve">FORMA E CRITÉRIOS DE SELEÇÃO </w:t>
      </w:r>
    </w:p>
    <w:p w14:paraId="5E5974FF">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10.1.</w:t>
      </w:r>
      <w:r>
        <w:rPr>
          <w:rFonts w:hint="default" w:ascii="Arial" w:hAnsi="Arial" w:eastAsia="Times New Roman" w:cs="Arial"/>
          <w:sz w:val="17"/>
          <w:szCs w:val="17"/>
          <w:rtl w:val="0"/>
        </w:rPr>
        <w:t xml:space="preserve"> Conforme disposto o futuro contratado será selecionado mediante processo licitatório na modalidade Pregão, na sua forma eletrônica, com critério de julgamento por menor preço por Lote, nos termos dos artigos 6º, inciso XLI, 17, § 2º, e 34, todos da Lei Federal nº 14.133/2021.</w:t>
      </w:r>
    </w:p>
    <w:p w14:paraId="45664221">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r>
        <w:rPr>
          <w:rFonts w:hint="default" w:ascii="Arial" w:hAnsi="Arial" w:eastAsia="Times New Roman" w:cs="Arial"/>
          <w:b/>
          <w:sz w:val="17"/>
          <w:szCs w:val="17"/>
          <w:rtl w:val="0"/>
        </w:rPr>
        <w:t>10.2. Forma de fornecimento:</w:t>
      </w:r>
    </w:p>
    <w:p w14:paraId="0000007E">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10.2.1.</w:t>
      </w:r>
      <w:r>
        <w:rPr>
          <w:rFonts w:hint="default" w:ascii="Arial" w:hAnsi="Arial" w:eastAsia="Times New Roman" w:cs="Arial"/>
          <w:sz w:val="17"/>
          <w:szCs w:val="17"/>
          <w:rtl w:val="0"/>
        </w:rPr>
        <w:t xml:space="preserve"> O fornecimento do serviço será de forma PARCELADA, de acordo com a demanda de eventos. </w:t>
      </w:r>
    </w:p>
    <w:p w14:paraId="1DCC910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tl w:val="0"/>
        </w:rPr>
      </w:pPr>
    </w:p>
    <w:p w14:paraId="212401F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tl w:val="0"/>
        </w:rPr>
      </w:pPr>
    </w:p>
    <w:p w14:paraId="7E1FF03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tl w:val="0"/>
        </w:rPr>
      </w:pPr>
    </w:p>
    <w:p w14:paraId="0000007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r>
        <w:rPr>
          <w:rFonts w:hint="default" w:ascii="Arial" w:hAnsi="Arial" w:eastAsia="Times New Roman" w:cs="Arial"/>
          <w:b/>
          <w:sz w:val="17"/>
          <w:szCs w:val="17"/>
          <w:rtl w:val="0"/>
        </w:rPr>
        <w:t xml:space="preserve">11. </w:t>
      </w:r>
      <w:r>
        <w:rPr>
          <w:rFonts w:hint="default" w:ascii="Arial" w:hAnsi="Arial" w:eastAsia="Times New Roman" w:cs="Arial"/>
          <w:b/>
          <w:color w:val="000000"/>
          <w:sz w:val="17"/>
          <w:szCs w:val="17"/>
          <w:rtl w:val="0"/>
        </w:rPr>
        <w:t>DA HABILITAÇÃO JURÍDICA, FISCAL, SOCIAL, TRABALHISTA E ECONÔMICO-FINANCEIRA.</w:t>
      </w:r>
    </w:p>
    <w:p w14:paraId="0000008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color w:val="000000"/>
          <w:sz w:val="17"/>
          <w:szCs w:val="17"/>
          <w:rtl w:val="0"/>
        </w:rPr>
      </w:pPr>
      <w:r>
        <w:rPr>
          <w:rFonts w:hint="default" w:ascii="Arial" w:hAnsi="Arial" w:eastAsia="Times New Roman" w:cs="Arial"/>
          <w:b/>
          <w:sz w:val="17"/>
          <w:szCs w:val="17"/>
          <w:rtl w:val="0"/>
        </w:rPr>
        <w:t xml:space="preserve">11.1. </w:t>
      </w:r>
      <w:r>
        <w:rPr>
          <w:rFonts w:hint="default" w:ascii="Arial" w:hAnsi="Arial" w:eastAsia="Times New Roman" w:cs="Arial"/>
          <w:color w:val="000000"/>
          <w:sz w:val="17"/>
          <w:szCs w:val="17"/>
          <w:rtl w:val="0"/>
        </w:rPr>
        <w:t>Os documentos necessários para habilitação da CONTRATADA se encontrarão descritos em tópico específico contido no edital.</w:t>
      </w:r>
    </w:p>
    <w:p w14:paraId="4B1B47B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color w:val="000000"/>
          <w:sz w:val="17"/>
          <w:szCs w:val="17"/>
          <w:rtl w:val="0"/>
        </w:rPr>
      </w:pPr>
    </w:p>
    <w:p w14:paraId="0000008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color w:val="000000"/>
          <w:sz w:val="17"/>
          <w:szCs w:val="17"/>
        </w:rPr>
      </w:pPr>
      <w:r>
        <w:rPr>
          <w:rFonts w:hint="default" w:ascii="Arial" w:hAnsi="Arial" w:eastAsia="Times New Roman" w:cs="Arial"/>
          <w:b/>
          <w:sz w:val="17"/>
          <w:szCs w:val="17"/>
          <w:rtl w:val="0"/>
        </w:rPr>
        <w:t xml:space="preserve">12. </w:t>
      </w:r>
      <w:r>
        <w:rPr>
          <w:rFonts w:hint="default" w:ascii="Arial" w:hAnsi="Arial" w:eastAsia="Times New Roman" w:cs="Arial"/>
          <w:b/>
          <w:color w:val="000000"/>
          <w:sz w:val="17"/>
          <w:szCs w:val="17"/>
          <w:rtl w:val="0"/>
        </w:rPr>
        <w:t>ESTIMATIVAS DO VALOR DA CONTRATAÇÃO</w:t>
      </w:r>
    </w:p>
    <w:p w14:paraId="00000082">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tl w:val="0"/>
        </w:rPr>
      </w:pPr>
      <w:r>
        <w:rPr>
          <w:rFonts w:hint="default" w:ascii="Arial" w:hAnsi="Arial" w:eastAsia="Times New Roman" w:cs="Arial"/>
          <w:b/>
          <w:sz w:val="17"/>
          <w:szCs w:val="17"/>
          <w:rtl w:val="0"/>
        </w:rPr>
        <w:t xml:space="preserve">12.1. </w:t>
      </w:r>
      <w:r>
        <w:rPr>
          <w:rFonts w:hint="default" w:ascii="Arial" w:hAnsi="Arial" w:eastAsia="Times New Roman" w:cs="Arial"/>
          <w:sz w:val="17"/>
          <w:szCs w:val="17"/>
          <w:rtl w:val="0"/>
        </w:rPr>
        <w:t>Estima-se para a contratação almejada o valor total de R$ 203.200,00 (duzentos e três mil e duzentos reais).</w:t>
      </w:r>
    </w:p>
    <w:p w14:paraId="1352187F">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tl w:val="0"/>
        </w:rPr>
      </w:pPr>
    </w:p>
    <w:tbl>
      <w:tblPr>
        <w:tblStyle w:val="346"/>
        <w:tblW w:w="8925"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1005"/>
        <w:gridCol w:w="3600"/>
        <w:gridCol w:w="810"/>
        <w:gridCol w:w="720"/>
        <w:gridCol w:w="1155"/>
        <w:gridCol w:w="1635"/>
      </w:tblGrid>
      <w:tr w14:paraId="034A78F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00" w:hRule="atLeast"/>
        </w:trPr>
        <w:tc>
          <w:tcPr>
            <w:gridSpan w:val="6"/>
            <w:tcBorders>
              <w:top w:val="single" w:color="000000"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0022CB06">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7"/>
                <w:szCs w:val="17"/>
              </w:rPr>
            </w:pPr>
            <w:r>
              <w:rPr>
                <w:rFonts w:hint="default" w:ascii="Arial" w:hAnsi="Arial" w:eastAsia="Times New Roman" w:cs="Arial"/>
                <w:b/>
                <w:sz w:val="17"/>
                <w:szCs w:val="17"/>
                <w:rtl w:val="0"/>
              </w:rPr>
              <w:t>LOTE ÚNICO</w:t>
            </w:r>
          </w:p>
        </w:tc>
      </w:tr>
      <w:tr w14:paraId="79DD1FE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00" w:hRule="atLeast"/>
        </w:trPr>
        <w:tc>
          <w:tcPr>
            <w:tcBorders>
              <w:top w:val="single" w:color="000000"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61BD81A3">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b/>
                <w:sz w:val="17"/>
                <w:szCs w:val="17"/>
                <w:rtl w:val="0"/>
              </w:rPr>
              <w:t>ITEM</w:t>
            </w:r>
          </w:p>
        </w:tc>
        <w:tc>
          <w:tcPr>
            <w:tcBorders>
              <w:top w:val="single" w:color="000000"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5F59BE1F">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b/>
                <w:sz w:val="17"/>
                <w:szCs w:val="17"/>
                <w:rtl w:val="0"/>
              </w:rPr>
              <w:t>DESCRIÇÃO DOS SERVIÇOS</w:t>
            </w:r>
          </w:p>
        </w:tc>
        <w:tc>
          <w:tcPr>
            <w:tcBorders>
              <w:top w:val="single" w:color="000000"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151803BB">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b/>
                <w:sz w:val="17"/>
                <w:szCs w:val="17"/>
                <w:rtl w:val="0"/>
              </w:rPr>
              <w:t>UND</w:t>
            </w:r>
          </w:p>
        </w:tc>
        <w:tc>
          <w:tcPr>
            <w:tcBorders>
              <w:top w:val="single" w:color="000000"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27120A6A">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b/>
                <w:sz w:val="17"/>
                <w:szCs w:val="17"/>
                <w:rtl w:val="0"/>
              </w:rPr>
              <w:t>QTD</w:t>
            </w:r>
          </w:p>
        </w:tc>
        <w:tc>
          <w:tcPr>
            <w:tcBorders>
              <w:top w:val="single" w:color="000000"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795E645D">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b/>
                <w:sz w:val="17"/>
                <w:szCs w:val="17"/>
                <w:rtl w:val="0"/>
              </w:rPr>
              <w:t>MÉDIA</w:t>
            </w:r>
          </w:p>
        </w:tc>
        <w:tc>
          <w:tcPr>
            <w:tcBorders>
              <w:top w:val="single" w:color="000000"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01F6F052">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b/>
                <w:sz w:val="17"/>
                <w:szCs w:val="17"/>
                <w:rtl w:val="0"/>
              </w:rPr>
              <w:t>VALOR TOTAL</w:t>
            </w:r>
          </w:p>
        </w:tc>
      </w:tr>
      <w:tr w14:paraId="5EF17ED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770" w:hRule="atLeast"/>
        </w:trPr>
        <w:tc>
          <w:tcPr>
            <w:tcBorders>
              <w:top w:val="single" w:color="CCCCCC"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6713B322">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b/>
                <w:sz w:val="17"/>
                <w:szCs w:val="17"/>
                <w:rtl w:val="0"/>
              </w:rPr>
              <w:t>1</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60960B9F">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 xml:space="preserve">GERADOR: GRUPO GERADOR DE ENERGIA CABINADO, </w:t>
            </w:r>
          </w:p>
          <w:p w14:paraId="7BD73632">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SILENCIADO, COM NO MÍNIMO 180 KVA S, EM 127/220V, 60H, RESPEITANDO AS NORMAS VIGENTES.</w:t>
            </w:r>
          </w:p>
          <w:p w14:paraId="19383F87">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7"/>
                <w:szCs w:val="17"/>
              </w:rPr>
            </w:pPr>
            <w:r>
              <w:rPr>
                <w:rFonts w:hint="default" w:ascii="Arial" w:hAnsi="Arial" w:eastAsia="Times New Roman" w:cs="Arial"/>
                <w:sz w:val="17"/>
                <w:szCs w:val="17"/>
                <w:rtl w:val="0"/>
              </w:rPr>
              <w:t>PERÍODO DE 12 HORAS (STAND-BY)</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25CF259F">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Diária</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74F40CBF">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12</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5FA215C2">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R$ 3.233,33</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224B6C1D">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R$ 38.800,00</w:t>
            </w:r>
          </w:p>
        </w:tc>
      </w:tr>
      <w:tr w14:paraId="1A7AC84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35" w:hRule="atLeast"/>
        </w:trPr>
        <w:tc>
          <w:tcPr>
            <w:tcBorders>
              <w:top w:val="single" w:color="CCCCCC"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65AABD8F">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b/>
                <w:sz w:val="17"/>
                <w:szCs w:val="17"/>
                <w:rtl w:val="0"/>
              </w:rPr>
              <w:t>2</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49A569F1">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GERADOR: GRUPO GERADOR DE ENERGIA CABINADO,</w:t>
            </w:r>
          </w:p>
          <w:p w14:paraId="3F8B9DBA">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SILENCIADO COM NO MÍNIMO 180 KVA'S, EM 127/220V, 60H, RESPEITANDO AS NORMAS VIGENTES.</w:t>
            </w:r>
          </w:p>
          <w:p w14:paraId="545BD631">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7"/>
                <w:szCs w:val="17"/>
              </w:rPr>
            </w:pPr>
            <w:r>
              <w:rPr>
                <w:rFonts w:hint="default" w:ascii="Arial" w:hAnsi="Arial" w:eastAsia="Times New Roman" w:cs="Arial"/>
                <w:sz w:val="17"/>
                <w:szCs w:val="17"/>
                <w:rtl w:val="0"/>
              </w:rPr>
              <w:t>PERÍODO DE 12 HORAS (FUNCIONANDO)</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487CDB86">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Diária</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5D850043">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12</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2E900887">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R$ 4.233,33</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412C4585">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R$ 50.800,00</w:t>
            </w:r>
          </w:p>
        </w:tc>
      </w:tr>
      <w:tr w14:paraId="7946AEC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35" w:hRule="atLeast"/>
        </w:trPr>
        <w:tc>
          <w:tcPr>
            <w:tcBorders>
              <w:top w:val="single" w:color="CCCCCC"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3C5F65AE">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b/>
                <w:sz w:val="17"/>
                <w:szCs w:val="17"/>
                <w:rtl w:val="0"/>
              </w:rPr>
              <w:t>3</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4660E9D7">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GERADOR: GRUPO GERADOR DE ENERGIA CABINADO,</w:t>
            </w:r>
          </w:p>
          <w:p w14:paraId="0C41DCAE">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SILENCIADO COM NO MÍNIMO 260 KVA'S, EM 127/220V, 60H, RESPEITANDO AS NORMAS VIGENTES.</w:t>
            </w:r>
          </w:p>
          <w:p w14:paraId="643831B8">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7"/>
                <w:szCs w:val="17"/>
              </w:rPr>
            </w:pPr>
            <w:r>
              <w:rPr>
                <w:rFonts w:hint="default" w:ascii="Arial" w:hAnsi="Arial" w:eastAsia="Times New Roman" w:cs="Arial"/>
                <w:sz w:val="17"/>
                <w:szCs w:val="17"/>
                <w:rtl w:val="0"/>
              </w:rPr>
              <w:t>PERÍODO DE 12 HORAS (STAND - BY)</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06BE5FEB">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Diária</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02E2021D">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12</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02A57857">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R$ 4.233,33</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578EB5F1">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R$ 50.800,00</w:t>
            </w:r>
          </w:p>
        </w:tc>
      </w:tr>
      <w:tr w14:paraId="26995A0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35" w:hRule="atLeast"/>
        </w:trPr>
        <w:tc>
          <w:tcPr>
            <w:tcBorders>
              <w:top w:val="single" w:color="CCCCCC"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597BEC53">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b/>
                <w:sz w:val="17"/>
                <w:szCs w:val="17"/>
                <w:rtl w:val="0"/>
              </w:rPr>
              <w:t>4</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50F89BFF">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GERADOR: GRUPO GERADOR DE ENERGIA CABINADO,</w:t>
            </w:r>
          </w:p>
          <w:p w14:paraId="4FC18E67">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SILENCIADO COM NO MÍNIMO 260 KVA'S, EM 127/220V, 60H, RESPEITANDO AS NORMAS VIGENTES.</w:t>
            </w:r>
          </w:p>
          <w:p w14:paraId="000000AA">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7"/>
                <w:szCs w:val="17"/>
              </w:rPr>
            </w:pPr>
            <w:r>
              <w:rPr>
                <w:rFonts w:hint="default" w:ascii="Arial" w:hAnsi="Arial" w:eastAsia="Times New Roman" w:cs="Arial"/>
                <w:sz w:val="17"/>
                <w:szCs w:val="17"/>
                <w:rtl w:val="0"/>
              </w:rPr>
              <w:t>PERÍODO DE 12 HORAS (FUNCIONANDO)</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000000AB">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Diária</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000000AC">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12</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000000AD">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R$ 5.233,33</w:t>
            </w:r>
          </w:p>
        </w:tc>
        <w:tc>
          <w:tcPr>
            <w:tcBorders>
              <w:top w:val="single" w:color="CCCCCC" w:sz="6" w:space="0"/>
              <w:left w:val="single" w:color="CCCCCC" w:sz="6" w:space="0"/>
              <w:bottom w:val="single" w:color="000000" w:sz="6" w:space="0"/>
              <w:right w:val="single" w:color="000000" w:sz="6" w:space="0"/>
            </w:tcBorders>
            <w:tcMar>
              <w:top w:w="0" w:type="dxa"/>
              <w:left w:w="40" w:type="dxa"/>
              <w:bottom w:w="0" w:type="dxa"/>
              <w:right w:w="40" w:type="dxa"/>
            </w:tcMar>
            <w:vAlign w:val="center"/>
          </w:tcPr>
          <w:p w14:paraId="137AA94F">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cs="Arial"/>
                <w:sz w:val="17"/>
                <w:szCs w:val="17"/>
              </w:rPr>
            </w:pPr>
            <w:r>
              <w:rPr>
                <w:rFonts w:hint="default" w:ascii="Arial" w:hAnsi="Arial" w:eastAsia="Times New Roman" w:cs="Arial"/>
                <w:sz w:val="17"/>
                <w:szCs w:val="17"/>
                <w:rtl w:val="0"/>
              </w:rPr>
              <w:t>R$ 62.800,00</w:t>
            </w:r>
          </w:p>
        </w:tc>
      </w:tr>
      <w:tr w14:paraId="2E60850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00" w:hRule="atLeast"/>
        </w:trPr>
        <w:tc>
          <w:tcPr>
            <w:gridSpan w:val="5"/>
            <w:tcBorders>
              <w:top w:val="single" w:color="CCCCCC" w:sz="6" w:space="0"/>
              <w:left w:val="single" w:color="000000" w:sz="6" w:space="0"/>
              <w:bottom w:val="single" w:color="000000" w:sz="6" w:space="0"/>
              <w:right w:val="single" w:color="000000" w:sz="6" w:space="0"/>
            </w:tcBorders>
            <w:tcMar>
              <w:top w:w="0" w:type="dxa"/>
              <w:left w:w="40" w:type="dxa"/>
              <w:bottom w:w="0" w:type="dxa"/>
              <w:right w:w="40" w:type="dxa"/>
            </w:tcMar>
            <w:vAlign w:val="bottom"/>
          </w:tcPr>
          <w:p w14:paraId="6B8964A9">
            <w:pPr>
              <w:pageBreakBefore w:val="0"/>
              <w:widowControl w:val="0"/>
              <w:kinsoku/>
              <w:wordWrap/>
              <w:overflowPunct/>
              <w:topLinePunct w:val="0"/>
              <w:autoSpaceDE/>
              <w:autoSpaceDN/>
              <w:bidi w:val="0"/>
              <w:adjustRightInd/>
              <w:snapToGrid/>
              <w:spacing w:after="0" w:line="240" w:lineRule="auto"/>
              <w:ind w:right="0"/>
              <w:jc w:val="right"/>
              <w:textAlignment w:val="auto"/>
              <w:rPr>
                <w:rFonts w:hint="default" w:ascii="Arial" w:hAnsi="Arial" w:cs="Arial"/>
                <w:sz w:val="17"/>
                <w:szCs w:val="17"/>
              </w:rPr>
            </w:pPr>
            <w:r>
              <w:rPr>
                <w:rFonts w:hint="default" w:ascii="Arial" w:hAnsi="Arial" w:eastAsia="Times New Roman" w:cs="Arial"/>
                <w:b/>
                <w:sz w:val="17"/>
                <w:szCs w:val="17"/>
                <w:rtl w:val="0"/>
              </w:rPr>
              <w:t>TOTAL</w:t>
            </w:r>
          </w:p>
        </w:tc>
        <w:tc>
          <w:tcPr>
            <w:tcBorders>
              <w:top w:val="single" w:color="CCCCCC" w:sz="6" w:space="0"/>
              <w:left w:val="single" w:color="CCCCCC" w:sz="6" w:space="0"/>
              <w:bottom w:val="single" w:color="000000" w:sz="6" w:space="0"/>
              <w:right w:val="single" w:color="000000" w:sz="6" w:space="0"/>
            </w:tcBorders>
            <w:shd w:val="clear" w:color="auto" w:fill="auto"/>
            <w:tcMar>
              <w:top w:w="0" w:type="dxa"/>
              <w:left w:w="40" w:type="dxa"/>
              <w:bottom w:w="0" w:type="dxa"/>
              <w:right w:w="40" w:type="dxa"/>
            </w:tcMar>
            <w:vAlign w:val="bottom"/>
          </w:tcPr>
          <w:p w14:paraId="7B8595BF">
            <w:pPr>
              <w:pageBreakBefore w:val="0"/>
              <w:widowControl w:val="0"/>
              <w:kinsoku/>
              <w:wordWrap/>
              <w:overflowPunct/>
              <w:topLinePunct w:val="0"/>
              <w:autoSpaceDE/>
              <w:autoSpaceDN/>
              <w:bidi w:val="0"/>
              <w:adjustRightInd/>
              <w:snapToGrid/>
              <w:spacing w:after="0" w:line="240" w:lineRule="auto"/>
              <w:ind w:right="0"/>
              <w:jc w:val="right"/>
              <w:textAlignment w:val="auto"/>
              <w:rPr>
                <w:rFonts w:hint="default" w:ascii="Arial" w:hAnsi="Arial" w:cs="Arial"/>
                <w:sz w:val="17"/>
                <w:szCs w:val="17"/>
              </w:rPr>
            </w:pPr>
            <w:r>
              <w:rPr>
                <w:rFonts w:hint="default" w:ascii="Arial" w:hAnsi="Arial" w:eastAsia="Times New Roman" w:cs="Arial"/>
                <w:b/>
                <w:sz w:val="17"/>
                <w:szCs w:val="17"/>
                <w:rtl w:val="0"/>
              </w:rPr>
              <w:t>R$ 203.200,00</w:t>
            </w:r>
          </w:p>
        </w:tc>
      </w:tr>
    </w:tbl>
    <w:p w14:paraId="4D4F4DD1">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b/>
          <w:sz w:val="17"/>
          <w:szCs w:val="17"/>
        </w:rPr>
      </w:pPr>
      <w:r>
        <w:rPr>
          <w:rFonts w:hint="default" w:ascii="Arial" w:hAnsi="Arial" w:eastAsia="Times New Roman" w:cs="Arial"/>
          <w:b/>
          <w:sz w:val="17"/>
          <w:szCs w:val="17"/>
          <w:rtl w:val="0"/>
        </w:rPr>
        <w:t xml:space="preserve"> </w:t>
      </w:r>
    </w:p>
    <w:p w14:paraId="3E27D998">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13.</w:t>
      </w:r>
      <w:r>
        <w:rPr>
          <w:rFonts w:hint="default" w:ascii="Arial" w:hAnsi="Arial" w:eastAsia="Times New Roman" w:cs="Arial"/>
          <w:sz w:val="17"/>
          <w:szCs w:val="17"/>
          <w:rtl w:val="0"/>
        </w:rPr>
        <w:t xml:space="preserve"> </w:t>
      </w:r>
      <w:r>
        <w:rPr>
          <w:rFonts w:hint="default" w:ascii="Arial" w:hAnsi="Arial" w:eastAsia="Times New Roman" w:cs="Arial"/>
          <w:b/>
          <w:sz w:val="17"/>
          <w:szCs w:val="17"/>
          <w:rtl w:val="0"/>
        </w:rPr>
        <w:t xml:space="preserve"> ESTIMATIVA DAS QUANTIDADES A SEREM ADQUIRIDAS.</w:t>
      </w:r>
    </w:p>
    <w:p w14:paraId="14CCE8D3">
      <w:pPr>
        <w:pageBreakBefore w:val="0"/>
        <w:kinsoku/>
        <w:wordWrap/>
        <w:overflowPunct/>
        <w:topLinePunct w:val="0"/>
        <w:autoSpaceDE/>
        <w:autoSpaceDN/>
        <w:bidi w:val="0"/>
        <w:adjustRightInd/>
        <w:snapToGrid/>
        <w:spacing w:after="0" w:line="240" w:lineRule="auto"/>
        <w:ind w:right="0"/>
        <w:textAlignment w:val="auto"/>
        <w:rPr>
          <w:rFonts w:hint="default" w:ascii="Arial" w:hAnsi="Arial" w:eastAsia="Arial" w:cs="Arial"/>
          <w:b/>
          <w:sz w:val="17"/>
          <w:szCs w:val="17"/>
        </w:rPr>
      </w:pPr>
    </w:p>
    <w:tbl>
      <w:tblPr>
        <w:tblStyle w:val="347"/>
        <w:tblW w:w="89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5685"/>
        <w:gridCol w:w="1695"/>
        <w:gridCol w:w="1590"/>
      </w:tblGrid>
      <w:tr w14:paraId="21DAB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jc w:val="center"/>
        </w:trPr>
        <w:tc>
          <w:p w14:paraId="3201FC8D">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b/>
                <w:sz w:val="17"/>
                <w:szCs w:val="17"/>
                <w:rtl w:val="0"/>
              </w:rPr>
              <w:t>ESTIMATIVA DAS QUANTIDADES</w:t>
            </w:r>
          </w:p>
        </w:tc>
        <w:tc>
          <w:p w14:paraId="2640B12A">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7"/>
                <w:szCs w:val="17"/>
              </w:rPr>
            </w:pPr>
            <w:r>
              <w:rPr>
                <w:rFonts w:hint="default" w:ascii="Arial" w:hAnsi="Arial" w:eastAsia="Times New Roman" w:cs="Arial"/>
                <w:b/>
                <w:sz w:val="17"/>
                <w:szCs w:val="17"/>
                <w:rtl w:val="0"/>
              </w:rPr>
              <w:t>Quantitativo Licitada</w:t>
            </w:r>
          </w:p>
        </w:tc>
        <w:tc>
          <w:p w14:paraId="591F9221">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7"/>
                <w:szCs w:val="17"/>
              </w:rPr>
            </w:pPr>
            <w:r>
              <w:rPr>
                <w:rFonts w:hint="default" w:ascii="Arial" w:hAnsi="Arial" w:eastAsia="Times New Roman" w:cs="Arial"/>
                <w:b/>
                <w:sz w:val="17"/>
                <w:szCs w:val="17"/>
                <w:rtl w:val="0"/>
              </w:rPr>
              <w:t>Quantitativo mínimo</w:t>
            </w:r>
          </w:p>
        </w:tc>
      </w:tr>
      <w:tr w14:paraId="39951B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jc w:val="center"/>
        </w:trPr>
        <w:tc>
          <w:tcPr>
            <w:tcBorders>
              <w:top w:val="single" w:color="000000"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0738B1D6">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GERADOR: GRUPO GERADOR DE ENERGIA CABINADO,</w:t>
            </w:r>
          </w:p>
          <w:p w14:paraId="66122ED3">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SILENCIADO, COM NO MÍNIMO 180 KVA S, EM 127/220V, 60H, RESPEITANDO AS NORMAS VIGENTES.</w:t>
            </w:r>
          </w:p>
          <w:p w14:paraId="6202275E">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7"/>
                <w:szCs w:val="17"/>
              </w:rPr>
            </w:pPr>
            <w:r>
              <w:rPr>
                <w:rFonts w:hint="default" w:ascii="Arial" w:hAnsi="Arial" w:eastAsia="Times New Roman" w:cs="Arial"/>
                <w:sz w:val="17"/>
                <w:szCs w:val="17"/>
                <w:rtl w:val="0"/>
              </w:rPr>
              <w:t>PERÍODO DE 12 HORAS (STAND-BY)</w:t>
            </w:r>
          </w:p>
        </w:tc>
        <w:tc>
          <w:p w14:paraId="5C2B4B51">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262046FE">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37AE969B">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r>
              <w:rPr>
                <w:rFonts w:hint="default" w:ascii="Arial" w:hAnsi="Arial" w:eastAsia="Times New Roman" w:cs="Arial"/>
                <w:sz w:val="17"/>
                <w:szCs w:val="17"/>
                <w:rtl w:val="0"/>
              </w:rPr>
              <w:t>12</w:t>
            </w:r>
          </w:p>
        </w:tc>
        <w:tc>
          <w:p w14:paraId="453CF127">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5FA19370">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326C2925">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r>
              <w:rPr>
                <w:rFonts w:hint="default" w:ascii="Arial" w:hAnsi="Arial" w:eastAsia="Times New Roman" w:cs="Arial"/>
                <w:sz w:val="17"/>
                <w:szCs w:val="17"/>
                <w:rtl w:val="0"/>
              </w:rPr>
              <w:t>2</w:t>
            </w:r>
          </w:p>
        </w:tc>
      </w:tr>
      <w:tr w14:paraId="19A5E4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jc w:val="center"/>
        </w:trPr>
        <w:tc>
          <w:tcPr>
            <w:tcBorders>
              <w:top w:val="single" w:color="CCCCCC"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373AB1AF">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GERADOR: GRUPO GERADOR DE ENERGIA CABINADO,</w:t>
            </w:r>
          </w:p>
          <w:p w14:paraId="21D212FA">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SILENCIADO COM NO MÍNIMO 180 KVA'S, EM 127/220V, 60H, RESPEITANDO AS NORMAS VIGENTES.</w:t>
            </w:r>
          </w:p>
          <w:p w14:paraId="559EB641">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7"/>
                <w:szCs w:val="17"/>
              </w:rPr>
            </w:pPr>
            <w:r>
              <w:rPr>
                <w:rFonts w:hint="default" w:ascii="Arial" w:hAnsi="Arial" w:eastAsia="Times New Roman" w:cs="Arial"/>
                <w:sz w:val="17"/>
                <w:szCs w:val="17"/>
                <w:rtl w:val="0"/>
              </w:rPr>
              <w:t>PERÍODO DE 12 HORAS (FUNCIONANDO)</w:t>
            </w:r>
          </w:p>
        </w:tc>
        <w:tc>
          <w:p w14:paraId="5CD62937">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48C0B6AC">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6F25EEBC">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r>
              <w:rPr>
                <w:rFonts w:hint="default" w:ascii="Arial" w:hAnsi="Arial" w:eastAsia="Times New Roman" w:cs="Arial"/>
                <w:sz w:val="17"/>
                <w:szCs w:val="17"/>
                <w:rtl w:val="0"/>
              </w:rPr>
              <w:t>12</w:t>
            </w:r>
          </w:p>
        </w:tc>
        <w:tc>
          <w:p w14:paraId="7EE592EB">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00418EEC">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748EFA19">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r>
              <w:rPr>
                <w:rFonts w:hint="default" w:ascii="Arial" w:hAnsi="Arial" w:eastAsia="Times New Roman" w:cs="Arial"/>
                <w:sz w:val="17"/>
                <w:szCs w:val="17"/>
                <w:rtl w:val="0"/>
              </w:rPr>
              <w:t>2</w:t>
            </w:r>
          </w:p>
          <w:p w14:paraId="4E968E85">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tc>
      </w:tr>
      <w:tr w14:paraId="16461E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jc w:val="center"/>
        </w:trPr>
        <w:tc>
          <w:tcPr>
            <w:tcBorders>
              <w:top w:val="single" w:color="CCCCCC"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20EAEDD5">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GERADOR: GRUPO GERADOR DE ENERGIA CABINADO,</w:t>
            </w:r>
          </w:p>
          <w:p w14:paraId="11BD99B3">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SILENCIADO COM NO MÍNIMO 260 KVA'S, EM 127/220V, 60H, RESPEITANDO AS NORMAS VIGENTES.</w:t>
            </w:r>
          </w:p>
          <w:p w14:paraId="7146B57F">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7"/>
                <w:szCs w:val="17"/>
              </w:rPr>
            </w:pPr>
            <w:r>
              <w:rPr>
                <w:rFonts w:hint="default" w:ascii="Arial" w:hAnsi="Arial" w:eastAsia="Times New Roman" w:cs="Arial"/>
                <w:sz w:val="17"/>
                <w:szCs w:val="17"/>
                <w:rtl w:val="0"/>
              </w:rPr>
              <w:t>PERÍODO DE 12 HORAS (STAND - BY)</w:t>
            </w:r>
          </w:p>
        </w:tc>
        <w:tc>
          <w:p w14:paraId="57FEEB14">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0D2DA357">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18E19C33">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r>
              <w:rPr>
                <w:rFonts w:hint="default" w:ascii="Arial" w:hAnsi="Arial" w:eastAsia="Times New Roman" w:cs="Arial"/>
                <w:sz w:val="17"/>
                <w:szCs w:val="17"/>
                <w:rtl w:val="0"/>
              </w:rPr>
              <w:t>12</w:t>
            </w:r>
          </w:p>
        </w:tc>
        <w:tc>
          <w:p w14:paraId="6A5DE630">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36FE2270">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34339FB7">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r>
              <w:rPr>
                <w:rFonts w:hint="default" w:ascii="Arial" w:hAnsi="Arial" w:eastAsia="Times New Roman" w:cs="Arial"/>
                <w:sz w:val="17"/>
                <w:szCs w:val="17"/>
                <w:rtl w:val="0"/>
              </w:rPr>
              <w:t>2</w:t>
            </w:r>
          </w:p>
        </w:tc>
      </w:tr>
      <w:tr w14:paraId="3D1DA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jc w:val="center"/>
        </w:trPr>
        <w:tc>
          <w:tcPr>
            <w:tcBorders>
              <w:top w:val="single" w:color="CCCCCC"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14:paraId="06C9FBE1">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GERADOR: GRUPO GERADOR DE ENERGIA CABINADO,</w:t>
            </w:r>
          </w:p>
          <w:p w14:paraId="6932BE46">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sz w:val="17"/>
                <w:szCs w:val="17"/>
              </w:rPr>
            </w:pPr>
            <w:r>
              <w:rPr>
                <w:rFonts w:hint="default" w:ascii="Arial" w:hAnsi="Arial" w:eastAsia="Times New Roman" w:cs="Arial"/>
                <w:sz w:val="17"/>
                <w:szCs w:val="17"/>
                <w:rtl w:val="0"/>
              </w:rPr>
              <w:t>SILENCIADO COM NO MÍNIMO 260 KVA'S, EM 127/220V, 60H, RESPEITANDO AS NORMAS VIGENTES.</w:t>
            </w:r>
          </w:p>
          <w:p w14:paraId="6EA84456">
            <w:pPr>
              <w:pageBreakBefore w:val="0"/>
              <w:widowControl w:val="0"/>
              <w:kinsoku/>
              <w:wordWrap/>
              <w:overflowPunct/>
              <w:topLinePunct w:val="0"/>
              <w:autoSpaceDE/>
              <w:autoSpaceDN/>
              <w:bidi w:val="0"/>
              <w:adjustRightInd/>
              <w:snapToGrid/>
              <w:spacing w:after="0" w:line="240" w:lineRule="auto"/>
              <w:ind w:right="0"/>
              <w:textAlignment w:val="auto"/>
              <w:rPr>
                <w:rFonts w:hint="default" w:ascii="Arial" w:hAnsi="Arial" w:cs="Arial"/>
                <w:sz w:val="17"/>
                <w:szCs w:val="17"/>
              </w:rPr>
            </w:pPr>
            <w:r>
              <w:rPr>
                <w:rFonts w:hint="default" w:ascii="Arial" w:hAnsi="Arial" w:eastAsia="Times New Roman" w:cs="Arial"/>
                <w:sz w:val="17"/>
                <w:szCs w:val="17"/>
                <w:rtl w:val="0"/>
              </w:rPr>
              <w:t>PERÍODO DE 12 HORAS (FUNCIONANDO)</w:t>
            </w:r>
          </w:p>
        </w:tc>
        <w:tc>
          <w:p w14:paraId="462238A0">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48BEF402">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46479324">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r>
              <w:rPr>
                <w:rFonts w:hint="default" w:ascii="Arial" w:hAnsi="Arial" w:eastAsia="Times New Roman" w:cs="Arial"/>
                <w:sz w:val="17"/>
                <w:szCs w:val="17"/>
                <w:rtl w:val="0"/>
              </w:rPr>
              <w:t>12</w:t>
            </w:r>
          </w:p>
        </w:tc>
        <w:tc>
          <w:p w14:paraId="689A9184">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34DC5899">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1D22A1AA">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r>
              <w:rPr>
                <w:rFonts w:hint="default" w:ascii="Arial" w:hAnsi="Arial" w:eastAsia="Times New Roman" w:cs="Arial"/>
                <w:sz w:val="17"/>
                <w:szCs w:val="17"/>
                <w:rtl w:val="0"/>
              </w:rPr>
              <w:t>2</w:t>
            </w:r>
          </w:p>
          <w:p w14:paraId="3821374D">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tc>
      </w:tr>
      <w:tr w14:paraId="0859D9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745" w:hRule="atLeast"/>
          <w:jc w:val="center"/>
        </w:trPr>
        <w:tc>
          <w:tcPr>
            <w:shd w:val="clear" w:color="auto" w:fill="D9D9D9"/>
            <w:vAlign w:val="center"/>
          </w:tcPr>
          <w:p w14:paraId="000000E7">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Arial" w:cs="Arial"/>
                <w:b/>
                <w:sz w:val="17"/>
                <w:szCs w:val="17"/>
              </w:rPr>
            </w:pPr>
            <w:r>
              <w:rPr>
                <w:rFonts w:hint="default" w:ascii="Arial" w:hAnsi="Arial" w:eastAsia="Arial" w:cs="Arial"/>
                <w:b/>
                <w:sz w:val="17"/>
                <w:szCs w:val="17"/>
                <w:rtl w:val="0"/>
              </w:rPr>
              <w:t>TOTAL</w:t>
            </w:r>
          </w:p>
        </w:tc>
        <w:tc>
          <w:tcPr>
            <w:shd w:val="clear" w:color="auto" w:fill="D9D9D9"/>
            <w:vAlign w:val="center"/>
          </w:tcPr>
          <w:p w14:paraId="000000E8">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Arial" w:cs="Arial"/>
                <w:b/>
                <w:sz w:val="17"/>
                <w:szCs w:val="17"/>
              </w:rPr>
            </w:pPr>
            <w:r>
              <w:rPr>
                <w:rFonts w:hint="default" w:ascii="Arial" w:hAnsi="Arial" w:eastAsia="Arial" w:cs="Arial"/>
                <w:b/>
                <w:sz w:val="17"/>
                <w:szCs w:val="17"/>
                <w:rtl w:val="0"/>
              </w:rPr>
              <w:t>48 diárias</w:t>
            </w:r>
          </w:p>
        </w:tc>
        <w:tc>
          <w:tcPr>
            <w:shd w:val="clear" w:color="auto" w:fill="D9D9D9"/>
            <w:vAlign w:val="center"/>
          </w:tcPr>
          <w:p w14:paraId="3946E810">
            <w:pPr>
              <w:pageBreakBefore w:val="0"/>
              <w:widowControl w:val="0"/>
              <w:kinsoku/>
              <w:wordWrap/>
              <w:overflowPunct/>
              <w:topLinePunct w:val="0"/>
              <w:autoSpaceDE/>
              <w:autoSpaceDN/>
              <w:bidi w:val="0"/>
              <w:adjustRightInd/>
              <w:snapToGrid/>
              <w:spacing w:after="0" w:line="240" w:lineRule="auto"/>
              <w:ind w:right="0"/>
              <w:jc w:val="center"/>
              <w:textAlignment w:val="auto"/>
              <w:rPr>
                <w:rFonts w:hint="default" w:ascii="Arial" w:hAnsi="Arial" w:eastAsia="Arial" w:cs="Arial"/>
                <w:b/>
                <w:sz w:val="17"/>
                <w:szCs w:val="17"/>
              </w:rPr>
            </w:pPr>
            <w:r>
              <w:rPr>
                <w:rFonts w:hint="default" w:ascii="Arial" w:hAnsi="Arial" w:eastAsia="Arial" w:cs="Arial"/>
                <w:b/>
                <w:sz w:val="17"/>
                <w:szCs w:val="17"/>
                <w:rtl w:val="0"/>
              </w:rPr>
              <w:t>8 diárias</w:t>
            </w:r>
          </w:p>
        </w:tc>
      </w:tr>
    </w:tbl>
    <w:p w14:paraId="2E3F5D96">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p>
    <w:p w14:paraId="068FBE21">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p>
    <w:p w14:paraId="3931A311">
      <w:pPr>
        <w:pageBreakBefore w:val="0"/>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b/>
          <w:color w:val="000000"/>
          <w:sz w:val="17"/>
          <w:szCs w:val="17"/>
        </w:rPr>
      </w:pPr>
      <w:r>
        <w:rPr>
          <w:rFonts w:hint="default" w:ascii="Arial" w:hAnsi="Arial" w:eastAsia="Times New Roman" w:cs="Arial"/>
          <w:b/>
          <w:sz w:val="17"/>
          <w:szCs w:val="17"/>
          <w:rtl w:val="0"/>
        </w:rPr>
        <w:t xml:space="preserve">14. </w:t>
      </w:r>
      <w:r>
        <w:rPr>
          <w:rFonts w:hint="default" w:ascii="Arial" w:hAnsi="Arial" w:eastAsia="Times New Roman" w:cs="Arial"/>
          <w:b/>
          <w:color w:val="000000"/>
          <w:sz w:val="17"/>
          <w:szCs w:val="17"/>
          <w:rtl w:val="0"/>
        </w:rPr>
        <w:t xml:space="preserve">ADEQUAÇÃO ORÇAMENTÁRIA </w:t>
      </w:r>
    </w:p>
    <w:p w14:paraId="252D092F">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14.1. </w:t>
      </w:r>
      <w:r>
        <w:rPr>
          <w:rFonts w:hint="default" w:ascii="Arial" w:hAnsi="Arial" w:eastAsia="Times New Roman" w:cs="Arial"/>
          <w:sz w:val="17"/>
          <w:szCs w:val="17"/>
          <w:rtl w:val="0"/>
        </w:rPr>
        <w:t>As despesas decorrentes da presente contratação correrão por conta dos seguintes centros de custos:</w:t>
      </w:r>
    </w:p>
    <w:tbl>
      <w:tblPr>
        <w:tblStyle w:val="348"/>
        <w:tblW w:w="71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2943"/>
        <w:gridCol w:w="4253"/>
      </w:tblGrid>
      <w:tr w14:paraId="3937E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595" w:hRule="atLeast"/>
          <w:jc w:val="center"/>
        </w:trPr>
        <w:tc>
          <w:tcPr>
            <w:shd w:val="clear" w:color="auto" w:fill="D9D9D9"/>
            <w:vAlign w:val="center"/>
          </w:tcPr>
          <w:p w14:paraId="611C5EAA">
            <w:pPr>
              <w:pageBreakBefore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7"/>
                <w:szCs w:val="17"/>
              </w:rPr>
            </w:pPr>
            <w:r>
              <w:rPr>
                <w:rFonts w:hint="default" w:ascii="Arial" w:hAnsi="Arial" w:eastAsia="Times New Roman" w:cs="Arial"/>
                <w:b/>
                <w:sz w:val="17"/>
                <w:szCs w:val="17"/>
                <w:rtl w:val="0"/>
              </w:rPr>
              <w:t>CÓDIGO/CENTRO DE CUSTO</w:t>
            </w:r>
          </w:p>
        </w:tc>
        <w:tc>
          <w:tcPr>
            <w:shd w:val="clear" w:color="auto" w:fill="D9D9D9"/>
            <w:vAlign w:val="center"/>
          </w:tcPr>
          <w:p w14:paraId="1747DD9A">
            <w:pPr>
              <w:pageBreakBefore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7"/>
                <w:szCs w:val="17"/>
              </w:rPr>
            </w:pPr>
            <w:r>
              <w:rPr>
                <w:rFonts w:hint="default" w:ascii="Arial" w:hAnsi="Arial" w:eastAsia="Times New Roman" w:cs="Arial"/>
                <w:b/>
                <w:sz w:val="17"/>
                <w:szCs w:val="17"/>
                <w:rtl w:val="0"/>
              </w:rPr>
              <w:t>ÁREA REQUISITANTE</w:t>
            </w:r>
          </w:p>
        </w:tc>
      </w:tr>
      <w:tr w14:paraId="6FE7E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91" w:hRule="atLeast"/>
          <w:jc w:val="center"/>
        </w:trPr>
        <w:tc>
          <w:tcPr>
            <w:vAlign w:val="center"/>
          </w:tcPr>
          <w:p w14:paraId="6465D84F">
            <w:pPr>
              <w:pageBreakBefore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r>
              <w:rPr>
                <w:rFonts w:hint="default" w:ascii="Arial" w:hAnsi="Arial" w:eastAsia="Times New Roman" w:cs="Arial"/>
                <w:sz w:val="17"/>
                <w:szCs w:val="17"/>
                <w:rtl w:val="0"/>
              </w:rPr>
              <w:t>11</w:t>
            </w:r>
          </w:p>
        </w:tc>
        <w:tc>
          <w:tcPr>
            <w:vAlign w:val="center"/>
          </w:tcPr>
          <w:p w14:paraId="6ED0A1C5">
            <w:pPr>
              <w:pageBreakBefore w:val="0"/>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r>
              <w:rPr>
                <w:rFonts w:hint="default" w:ascii="Arial" w:hAnsi="Arial" w:eastAsia="Times New Roman" w:cs="Arial"/>
                <w:sz w:val="17"/>
                <w:szCs w:val="17"/>
                <w:rtl w:val="0"/>
              </w:rPr>
              <w:t>SECRETARIA DE CULTURA E TURISMO</w:t>
            </w:r>
          </w:p>
        </w:tc>
      </w:tr>
    </w:tbl>
    <w:p w14:paraId="06618BD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b/>
          <w:sz w:val="17"/>
          <w:szCs w:val="17"/>
        </w:rPr>
      </w:pPr>
    </w:p>
    <w:p w14:paraId="000000F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textAlignment w:val="auto"/>
        <w:rPr>
          <w:rFonts w:hint="default" w:ascii="Arial" w:hAnsi="Arial" w:eastAsia="Times New Roman" w:cs="Arial"/>
          <w:b/>
          <w:sz w:val="17"/>
          <w:szCs w:val="17"/>
        </w:rPr>
      </w:pPr>
    </w:p>
    <w:p w14:paraId="000000F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sz w:val="17"/>
          <w:szCs w:val="17"/>
        </w:rPr>
      </w:pPr>
    </w:p>
    <w:p w14:paraId="000000F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color w:val="000000"/>
          <w:sz w:val="17"/>
          <w:szCs w:val="17"/>
        </w:rPr>
      </w:pPr>
      <w:r>
        <w:rPr>
          <w:rFonts w:hint="default" w:ascii="Arial" w:hAnsi="Arial" w:eastAsia="Times New Roman" w:cs="Arial"/>
          <w:color w:val="000000"/>
          <w:sz w:val="17"/>
          <w:szCs w:val="17"/>
          <w:rtl w:val="0"/>
        </w:rPr>
        <w:t>______________________________</w:t>
      </w:r>
    </w:p>
    <w:p w14:paraId="000000F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color w:val="000000"/>
          <w:sz w:val="17"/>
          <w:szCs w:val="17"/>
        </w:rPr>
      </w:pPr>
      <w:r>
        <w:rPr>
          <w:rFonts w:hint="default" w:ascii="Arial" w:hAnsi="Arial" w:eastAsia="Times New Roman" w:cs="Arial"/>
          <w:color w:val="000000"/>
          <w:sz w:val="17"/>
          <w:szCs w:val="17"/>
          <w:rtl w:val="0"/>
        </w:rPr>
        <w:t>Carolina Paiva Neves Frade da Cruz</w:t>
      </w:r>
    </w:p>
    <w:p w14:paraId="000000F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7"/>
          <w:szCs w:val="17"/>
        </w:rPr>
      </w:pPr>
      <w:r>
        <w:rPr>
          <w:rFonts w:hint="default" w:ascii="Arial" w:hAnsi="Arial" w:eastAsia="Times New Roman" w:cs="Arial"/>
          <w:b/>
          <w:color w:val="000000"/>
          <w:sz w:val="17"/>
          <w:szCs w:val="17"/>
          <w:rtl w:val="0"/>
        </w:rPr>
        <w:t>Fiscal de Contrato - Elaboração do ETP e TR</w:t>
      </w:r>
    </w:p>
    <w:p w14:paraId="000000F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b/>
          <w:sz w:val="17"/>
          <w:szCs w:val="17"/>
        </w:rPr>
      </w:pPr>
    </w:p>
    <w:p w14:paraId="000000F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color w:val="000000"/>
          <w:sz w:val="17"/>
          <w:szCs w:val="17"/>
        </w:rPr>
      </w:pPr>
      <w:r>
        <w:rPr>
          <w:rFonts w:hint="default" w:ascii="Arial" w:hAnsi="Arial" w:eastAsia="Times New Roman" w:cs="Arial"/>
          <w:color w:val="000000"/>
          <w:sz w:val="17"/>
          <w:szCs w:val="17"/>
          <w:rtl w:val="0"/>
        </w:rPr>
        <w:t>_______________________________</w:t>
      </w:r>
    </w:p>
    <w:p w14:paraId="000000F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right="0"/>
        <w:jc w:val="center"/>
        <w:textAlignment w:val="auto"/>
        <w:rPr>
          <w:rFonts w:hint="default" w:ascii="Arial" w:hAnsi="Arial" w:eastAsia="Times New Roman" w:cs="Arial"/>
          <w:color w:val="000000"/>
          <w:sz w:val="17"/>
          <w:szCs w:val="17"/>
        </w:rPr>
      </w:pPr>
      <w:r>
        <w:rPr>
          <w:rFonts w:hint="default" w:ascii="Arial" w:hAnsi="Arial" w:eastAsia="Times New Roman" w:cs="Arial"/>
          <w:color w:val="000000"/>
          <w:sz w:val="17"/>
          <w:szCs w:val="17"/>
          <w:rtl w:val="0"/>
        </w:rPr>
        <w:t>Rosângela Moreira Lima Costa</w:t>
      </w:r>
    </w:p>
    <w:p w14:paraId="0E8A4C87">
      <w:pPr>
        <w:pStyle w:val="221"/>
        <w:pageBreakBefore w:val="0"/>
        <w:kinsoku/>
        <w:wordWrap/>
        <w:overflowPunct/>
        <w:topLinePunct w:val="0"/>
        <w:autoSpaceDE w:val="0"/>
        <w:autoSpaceDN w:val="0"/>
        <w:bidi w:val="0"/>
        <w:adjustRightInd w:val="0"/>
        <w:snapToGrid/>
        <w:spacing w:line="240" w:lineRule="auto"/>
        <w:ind w:left="0" w:right="0"/>
        <w:contextualSpacing w:val="0"/>
        <w:jc w:val="center"/>
        <w:textAlignment w:val="auto"/>
        <w:rPr>
          <w:rFonts w:hint="default" w:ascii="Arial" w:hAnsi="Arial" w:cs="Arial"/>
          <w:b/>
          <w:sz w:val="17"/>
          <w:szCs w:val="17"/>
        </w:rPr>
      </w:pPr>
      <w:r>
        <w:rPr>
          <w:rFonts w:hint="default" w:ascii="Arial" w:hAnsi="Arial" w:eastAsia="Times New Roman" w:cs="Arial"/>
          <w:b/>
          <w:color w:val="000000"/>
          <w:sz w:val="17"/>
          <w:szCs w:val="17"/>
          <w:rtl w:val="0"/>
        </w:rPr>
        <w:t>Secretária de Cultura e Turismo</w:t>
      </w:r>
    </w:p>
    <w:p w14:paraId="0841DCCA">
      <w:pPr>
        <w:pStyle w:val="221"/>
        <w:autoSpaceDE w:val="0"/>
        <w:autoSpaceDN w:val="0"/>
        <w:adjustRightInd w:val="0"/>
        <w:spacing w:line="360" w:lineRule="auto"/>
        <w:ind w:left="0"/>
        <w:contextualSpacing w:val="0"/>
        <w:jc w:val="center"/>
        <w:rPr>
          <w:rFonts w:ascii="Arial" w:hAnsi="Arial" w:cs="Arial"/>
          <w:b/>
          <w:sz w:val="40"/>
          <w:szCs w:val="40"/>
        </w:rPr>
      </w:pPr>
    </w:p>
    <w:p w14:paraId="01812581">
      <w:pPr>
        <w:pStyle w:val="221"/>
        <w:autoSpaceDE w:val="0"/>
        <w:autoSpaceDN w:val="0"/>
        <w:adjustRightInd w:val="0"/>
        <w:spacing w:line="360" w:lineRule="auto"/>
        <w:ind w:left="0"/>
        <w:contextualSpacing w:val="0"/>
        <w:jc w:val="center"/>
        <w:rPr>
          <w:rFonts w:ascii="Arial" w:hAnsi="Arial" w:cs="Arial"/>
          <w:b/>
          <w:sz w:val="40"/>
          <w:szCs w:val="40"/>
        </w:rPr>
      </w:pPr>
    </w:p>
    <w:p w14:paraId="7C6487A2">
      <w:pPr>
        <w:pStyle w:val="221"/>
        <w:autoSpaceDE w:val="0"/>
        <w:autoSpaceDN w:val="0"/>
        <w:adjustRightInd w:val="0"/>
        <w:spacing w:line="360" w:lineRule="auto"/>
        <w:ind w:left="0"/>
        <w:contextualSpacing w:val="0"/>
        <w:jc w:val="center"/>
        <w:rPr>
          <w:rFonts w:ascii="Arial" w:hAnsi="Arial" w:cs="Arial"/>
          <w:b/>
          <w:sz w:val="40"/>
          <w:szCs w:val="40"/>
        </w:rPr>
      </w:pPr>
    </w:p>
    <w:p w14:paraId="10FE7093">
      <w:pPr>
        <w:pStyle w:val="221"/>
        <w:autoSpaceDE w:val="0"/>
        <w:autoSpaceDN w:val="0"/>
        <w:adjustRightInd w:val="0"/>
        <w:spacing w:line="360" w:lineRule="auto"/>
        <w:ind w:left="0"/>
        <w:contextualSpacing w:val="0"/>
        <w:jc w:val="center"/>
        <w:rPr>
          <w:rFonts w:ascii="Arial" w:hAnsi="Arial" w:cs="Arial"/>
          <w:b/>
          <w:sz w:val="40"/>
          <w:szCs w:val="40"/>
        </w:rPr>
      </w:pPr>
    </w:p>
    <w:p w14:paraId="2267BB28">
      <w:pPr>
        <w:pStyle w:val="221"/>
        <w:autoSpaceDE w:val="0"/>
        <w:autoSpaceDN w:val="0"/>
        <w:adjustRightInd w:val="0"/>
        <w:spacing w:line="360" w:lineRule="auto"/>
        <w:ind w:left="0"/>
        <w:contextualSpacing w:val="0"/>
        <w:jc w:val="center"/>
        <w:rPr>
          <w:rFonts w:ascii="Arial" w:hAnsi="Arial" w:cs="Arial"/>
          <w:b/>
          <w:sz w:val="40"/>
          <w:szCs w:val="40"/>
        </w:rPr>
      </w:pPr>
    </w:p>
    <w:p w14:paraId="006ACB91">
      <w:pPr>
        <w:pStyle w:val="221"/>
        <w:autoSpaceDE w:val="0"/>
        <w:autoSpaceDN w:val="0"/>
        <w:adjustRightInd w:val="0"/>
        <w:spacing w:line="360" w:lineRule="auto"/>
        <w:ind w:left="0"/>
        <w:contextualSpacing w:val="0"/>
        <w:jc w:val="center"/>
        <w:rPr>
          <w:rFonts w:ascii="Arial" w:hAnsi="Arial" w:cs="Arial"/>
          <w:b/>
          <w:sz w:val="40"/>
          <w:szCs w:val="40"/>
        </w:rPr>
      </w:pPr>
    </w:p>
    <w:p w14:paraId="10ED2D93">
      <w:pPr>
        <w:pStyle w:val="221"/>
        <w:autoSpaceDE w:val="0"/>
        <w:autoSpaceDN w:val="0"/>
        <w:adjustRightInd w:val="0"/>
        <w:spacing w:line="360" w:lineRule="auto"/>
        <w:ind w:left="0"/>
        <w:contextualSpacing w:val="0"/>
        <w:jc w:val="center"/>
        <w:rPr>
          <w:rFonts w:ascii="Arial" w:hAnsi="Arial" w:cs="Arial"/>
          <w:b/>
          <w:sz w:val="40"/>
          <w:szCs w:val="40"/>
        </w:rPr>
      </w:pPr>
    </w:p>
    <w:p w14:paraId="4715A6BA">
      <w:pPr>
        <w:pStyle w:val="221"/>
        <w:autoSpaceDE w:val="0"/>
        <w:autoSpaceDN w:val="0"/>
        <w:adjustRightInd w:val="0"/>
        <w:spacing w:line="360" w:lineRule="auto"/>
        <w:ind w:left="0"/>
        <w:contextualSpacing w:val="0"/>
        <w:jc w:val="center"/>
        <w:rPr>
          <w:rFonts w:ascii="Arial" w:hAnsi="Arial" w:cs="Arial"/>
          <w:b/>
          <w:sz w:val="40"/>
          <w:szCs w:val="40"/>
        </w:rPr>
      </w:pPr>
    </w:p>
    <w:p w14:paraId="694FA26E">
      <w:pPr>
        <w:pStyle w:val="221"/>
        <w:autoSpaceDE w:val="0"/>
        <w:autoSpaceDN w:val="0"/>
        <w:adjustRightInd w:val="0"/>
        <w:spacing w:line="360" w:lineRule="auto"/>
        <w:ind w:left="0"/>
        <w:contextualSpacing w:val="0"/>
        <w:jc w:val="center"/>
        <w:rPr>
          <w:rFonts w:ascii="Arial" w:hAnsi="Arial" w:cs="Arial"/>
          <w:b/>
          <w:sz w:val="40"/>
          <w:szCs w:val="40"/>
        </w:rPr>
      </w:pPr>
    </w:p>
    <w:p w14:paraId="723DB4E2">
      <w:pPr>
        <w:pStyle w:val="221"/>
        <w:autoSpaceDE w:val="0"/>
        <w:autoSpaceDN w:val="0"/>
        <w:adjustRightInd w:val="0"/>
        <w:spacing w:line="360" w:lineRule="auto"/>
        <w:ind w:left="0"/>
        <w:contextualSpacing w:val="0"/>
        <w:jc w:val="center"/>
        <w:rPr>
          <w:rFonts w:ascii="Arial" w:hAnsi="Arial" w:cs="Arial"/>
          <w:b/>
          <w:sz w:val="40"/>
          <w:szCs w:val="40"/>
        </w:rPr>
      </w:pPr>
    </w:p>
    <w:p w14:paraId="6F9131D2">
      <w:pPr>
        <w:pStyle w:val="221"/>
        <w:autoSpaceDE w:val="0"/>
        <w:autoSpaceDN w:val="0"/>
        <w:adjustRightInd w:val="0"/>
        <w:spacing w:line="360" w:lineRule="auto"/>
        <w:ind w:left="0"/>
        <w:contextualSpacing w:val="0"/>
        <w:jc w:val="both"/>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086/2024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054/2024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039/2024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lote</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26 de agosto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5"/>
        <w:tblpPr w:leftFromText="180" w:rightFromText="180" w:vertAnchor="text" w:horzAnchor="page" w:tblpXSpec="center" w:tblpY="254"/>
        <w:tblOverlap w:val="never"/>
        <w:tblW w:w="10508" w:type="dxa"/>
        <w:jc w:val="center"/>
        <w:tblLayout w:type="fixed"/>
        <w:tblCellMar>
          <w:top w:w="0" w:type="dxa"/>
          <w:left w:w="108" w:type="dxa"/>
          <w:bottom w:w="0" w:type="dxa"/>
          <w:right w:w="108" w:type="dxa"/>
        </w:tblCellMar>
      </w:tblPr>
      <w:tblGrid>
        <w:gridCol w:w="687"/>
        <w:gridCol w:w="5027"/>
        <w:gridCol w:w="736"/>
        <w:gridCol w:w="628"/>
        <w:gridCol w:w="980"/>
        <w:gridCol w:w="1179"/>
        <w:gridCol w:w="1271"/>
      </w:tblGrid>
      <w:tr w14:paraId="6BB5FD47">
        <w:tblPrEx>
          <w:tblCellMar>
            <w:top w:w="0" w:type="dxa"/>
            <w:left w:w="108" w:type="dxa"/>
            <w:bottom w:w="0" w:type="dxa"/>
            <w:right w:w="108" w:type="dxa"/>
          </w:tblCellMar>
        </w:tblPrEx>
        <w:trPr>
          <w:trHeight w:val="376" w:hRule="atLeast"/>
          <w:jc w:val="center"/>
        </w:trPr>
        <w:tc>
          <w:tcPr>
            <w:tcW w:w="10508" w:type="dxa"/>
            <w:gridSpan w:val="7"/>
            <w:tcBorders>
              <w:top w:val="single" w:color="000000" w:sz="4" w:space="0"/>
              <w:left w:val="single" w:color="000000" w:sz="4" w:space="0"/>
              <w:bottom w:val="single" w:color="000000" w:sz="4" w:space="0"/>
              <w:right w:val="single" w:color="000000" w:sz="4" w:space="0"/>
            </w:tcBorders>
            <w:shd w:val="clear" w:color="auto" w:fill="auto"/>
          </w:tcPr>
          <w:p w14:paraId="70209A5A">
            <w:pPr>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LOTE 1</w:t>
            </w:r>
          </w:p>
        </w:tc>
      </w:tr>
      <w:tr w14:paraId="4E3D6E40">
        <w:tblPrEx>
          <w:tblCellMar>
            <w:top w:w="0" w:type="dxa"/>
            <w:left w:w="108" w:type="dxa"/>
            <w:bottom w:w="0" w:type="dxa"/>
            <w:right w:w="108" w:type="dxa"/>
          </w:tblCellMar>
        </w:tblPrEx>
        <w:trPr>
          <w:trHeight w:val="376"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Pr>
          <w:p w14:paraId="75EFFB7C">
            <w:pPr>
              <w:spacing w:after="0" w:line="240" w:lineRule="auto"/>
              <w:ind w:left="0" w:leftChars="0" w:firstLine="0" w:firstLineChars="0"/>
              <w:jc w:val="center"/>
              <w:rPr>
                <w:rFonts w:hint="default" w:ascii="Arial" w:hAnsi="Arial" w:cs="Arial"/>
                <w:b/>
                <w:sz w:val="16"/>
                <w:szCs w:val="16"/>
              </w:rPr>
            </w:pPr>
            <w:r>
              <w:rPr>
                <w:rFonts w:hint="default" w:ascii="Arial" w:hAnsi="Arial" w:cs="Arial"/>
                <w:b/>
                <w:sz w:val="16"/>
                <w:szCs w:val="16"/>
              </w:rPr>
              <w:t>Item</w:t>
            </w:r>
          </w:p>
        </w:tc>
        <w:tc>
          <w:tcPr>
            <w:tcW w:w="5027" w:type="dxa"/>
            <w:tcBorders>
              <w:top w:val="single" w:color="000000" w:sz="4" w:space="0"/>
              <w:left w:val="single" w:color="000000" w:sz="4" w:space="0"/>
              <w:bottom w:val="single" w:color="000000" w:sz="4" w:space="0"/>
              <w:right w:val="single" w:color="000000" w:sz="4" w:space="0"/>
            </w:tcBorders>
            <w:shd w:val="clear" w:color="auto" w:fill="auto"/>
          </w:tcPr>
          <w:p w14:paraId="44C76AB2">
            <w:pPr>
              <w:spacing w:after="0" w:line="240" w:lineRule="auto"/>
              <w:ind w:left="0" w:leftChars="0" w:firstLine="0" w:firstLineChars="0"/>
              <w:jc w:val="center"/>
              <w:rPr>
                <w:rFonts w:hint="default" w:ascii="Arial" w:hAnsi="Arial" w:cs="Arial"/>
                <w:b/>
                <w:sz w:val="16"/>
                <w:szCs w:val="16"/>
              </w:rPr>
            </w:pPr>
            <w:r>
              <w:rPr>
                <w:rFonts w:hint="default" w:ascii="Arial" w:hAnsi="Arial" w:cs="Arial"/>
                <w:b/>
                <w:sz w:val="16"/>
                <w:szCs w:val="16"/>
              </w:rPr>
              <w:t>Discriminação</w:t>
            </w:r>
          </w:p>
        </w:tc>
        <w:tc>
          <w:tcPr>
            <w:tcW w:w="736" w:type="dxa"/>
            <w:tcBorders>
              <w:top w:val="single" w:color="000000" w:sz="4" w:space="0"/>
              <w:left w:val="single" w:color="000000" w:sz="4" w:space="0"/>
              <w:bottom w:val="single" w:color="000000" w:sz="4" w:space="0"/>
              <w:right w:val="single" w:color="000000" w:sz="4" w:space="0"/>
            </w:tcBorders>
            <w:shd w:val="clear" w:color="auto" w:fill="auto"/>
          </w:tcPr>
          <w:p w14:paraId="4CA43AD6">
            <w:pPr>
              <w:tabs>
                <w:tab w:val="left" w:pos="720"/>
              </w:tabs>
              <w:spacing w:after="0" w:line="240" w:lineRule="auto"/>
              <w:ind w:right="62" w:rightChars="26"/>
              <w:jc w:val="center"/>
              <w:rPr>
                <w:rFonts w:hint="default" w:ascii="Arial" w:hAnsi="Arial" w:cs="Arial"/>
                <w:b/>
                <w:sz w:val="16"/>
                <w:szCs w:val="16"/>
                <w:lang w:val="pt-BR"/>
              </w:rPr>
            </w:pPr>
            <w:r>
              <w:rPr>
                <w:rFonts w:hint="default" w:ascii="Arial" w:hAnsi="Arial" w:cs="Arial"/>
                <w:b/>
                <w:sz w:val="16"/>
                <w:szCs w:val="16"/>
                <w:lang w:val="pt-BR"/>
              </w:rPr>
              <w:t>UND</w:t>
            </w:r>
          </w:p>
        </w:tc>
        <w:tc>
          <w:tcPr>
            <w:tcW w:w="628" w:type="dxa"/>
            <w:tcBorders>
              <w:top w:val="single" w:color="000000" w:sz="4" w:space="0"/>
              <w:left w:val="single" w:color="000000" w:sz="4" w:space="0"/>
              <w:bottom w:val="single" w:color="000000" w:sz="4" w:space="0"/>
              <w:right w:val="single" w:color="000000" w:sz="4" w:space="0"/>
            </w:tcBorders>
          </w:tcPr>
          <w:p w14:paraId="36819426">
            <w:pPr>
              <w:spacing w:after="0" w:line="240" w:lineRule="auto"/>
              <w:ind w:left="0" w:leftChars="0" w:firstLine="0" w:firstLineChars="0"/>
              <w:jc w:val="center"/>
              <w:rPr>
                <w:rFonts w:hint="default" w:ascii="Arial" w:hAnsi="Arial" w:cs="Arial"/>
                <w:b/>
                <w:sz w:val="16"/>
                <w:szCs w:val="16"/>
              </w:rPr>
            </w:pPr>
            <w:r>
              <w:rPr>
                <w:rFonts w:hint="default" w:ascii="Arial" w:hAnsi="Arial" w:cs="Arial"/>
                <w:b/>
                <w:sz w:val="16"/>
                <w:szCs w:val="16"/>
              </w:rPr>
              <w:t>QTD</w:t>
            </w:r>
          </w:p>
        </w:tc>
        <w:tc>
          <w:tcPr>
            <w:tcW w:w="980" w:type="dxa"/>
            <w:tcBorders>
              <w:top w:val="single" w:color="000000" w:sz="4" w:space="0"/>
              <w:left w:val="single" w:color="000000" w:sz="4" w:space="0"/>
              <w:bottom w:val="single" w:color="000000" w:sz="4" w:space="0"/>
              <w:right w:val="single" w:color="000000" w:sz="4" w:space="0"/>
            </w:tcBorders>
          </w:tcPr>
          <w:p w14:paraId="51713D7C">
            <w:pPr>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Marca</w:t>
            </w:r>
          </w:p>
        </w:tc>
        <w:tc>
          <w:tcPr>
            <w:tcW w:w="1179" w:type="dxa"/>
            <w:tcBorders>
              <w:top w:val="single" w:color="000000" w:sz="4" w:space="0"/>
              <w:left w:val="single" w:color="000000" w:sz="4" w:space="0"/>
              <w:bottom w:val="single" w:color="000000" w:sz="4" w:space="0"/>
              <w:right w:val="single" w:color="000000" w:sz="4" w:space="0"/>
            </w:tcBorders>
          </w:tcPr>
          <w:p w14:paraId="533B4102">
            <w:pPr>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Vr. Unit</w:t>
            </w:r>
          </w:p>
        </w:tc>
        <w:tc>
          <w:tcPr>
            <w:tcW w:w="1271" w:type="dxa"/>
            <w:tcBorders>
              <w:top w:val="single" w:color="000000" w:sz="4" w:space="0"/>
              <w:left w:val="single" w:color="000000" w:sz="4" w:space="0"/>
              <w:bottom w:val="single" w:color="000000" w:sz="4" w:space="0"/>
              <w:right w:val="single" w:color="000000" w:sz="4" w:space="0"/>
            </w:tcBorders>
          </w:tcPr>
          <w:p w14:paraId="2823086A">
            <w:pPr>
              <w:spacing w:after="0" w:line="240" w:lineRule="auto"/>
              <w:ind w:left="0" w:leftChars="0" w:firstLine="0" w:firstLineChars="0"/>
              <w:jc w:val="center"/>
              <w:rPr>
                <w:rFonts w:hint="default" w:ascii="Arial" w:hAnsi="Arial" w:cs="Arial"/>
                <w:b/>
                <w:sz w:val="16"/>
                <w:szCs w:val="16"/>
                <w:lang w:val="pt-BR"/>
              </w:rPr>
            </w:pPr>
            <w:r>
              <w:rPr>
                <w:rFonts w:hint="default" w:ascii="Arial" w:hAnsi="Arial" w:cs="Arial"/>
                <w:b/>
                <w:sz w:val="16"/>
                <w:szCs w:val="16"/>
                <w:lang w:val="pt-BR"/>
              </w:rPr>
              <w:t>Vr. Total</w:t>
            </w:r>
          </w:p>
        </w:tc>
      </w:tr>
      <w:tr w14:paraId="4CC2871D">
        <w:tblPrEx>
          <w:tblCellMar>
            <w:top w:w="0" w:type="dxa"/>
            <w:left w:w="108" w:type="dxa"/>
            <w:bottom w:w="0" w:type="dxa"/>
            <w:right w:w="108" w:type="dxa"/>
          </w:tblCellMar>
        </w:tblPrEx>
        <w:trPr>
          <w:trHeight w:val="330"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C79F9">
            <w:pPr>
              <w:pStyle w:val="221"/>
              <w:numPr>
                <w:ilvl w:val="0"/>
                <w:numId w:val="0"/>
              </w:numPr>
              <w:spacing w:after="0" w:line="240" w:lineRule="auto"/>
              <w:jc w:val="center"/>
              <w:rPr>
                <w:rFonts w:hint="default" w:ascii="Arial" w:hAnsi="Arial" w:cs="Arial"/>
                <w:sz w:val="16"/>
                <w:szCs w:val="16"/>
                <w:lang w:val="pt-BR"/>
              </w:rPr>
            </w:pPr>
            <w:r>
              <w:rPr>
                <w:rFonts w:hint="default" w:ascii="Arial" w:hAnsi="Arial" w:cs="Arial"/>
                <w:sz w:val="16"/>
                <w:szCs w:val="16"/>
                <w:lang w:val="pt-BR"/>
              </w:rPr>
              <w:t>01</w:t>
            </w:r>
          </w:p>
        </w:tc>
        <w:tc>
          <w:tcPr>
            <w:tcW w:w="5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1AEF2">
            <w:pPr>
              <w:widowControl w:val="0"/>
              <w:spacing w:after="0" w:line="276" w:lineRule="auto"/>
              <w:rPr>
                <w:rFonts w:hint="default" w:ascii="Arial" w:hAnsi="Arial" w:eastAsia="Times New Roman" w:cs="Arial"/>
                <w:sz w:val="16"/>
                <w:szCs w:val="16"/>
              </w:rPr>
            </w:pPr>
            <w:r>
              <w:rPr>
                <w:rFonts w:hint="default" w:ascii="Arial" w:hAnsi="Arial" w:eastAsia="Times New Roman" w:cs="Arial"/>
                <w:sz w:val="16"/>
                <w:szCs w:val="16"/>
              </w:rPr>
              <w:t xml:space="preserve">GERADOR: GRUPO GERADOR DE ENERGIA CABINADO, </w:t>
            </w:r>
          </w:p>
          <w:p w14:paraId="27DEE948">
            <w:pPr>
              <w:widowControl w:val="0"/>
              <w:tabs>
                <w:tab w:val="left" w:pos="4560"/>
              </w:tabs>
              <w:spacing w:after="0" w:line="276" w:lineRule="auto"/>
              <w:rPr>
                <w:rFonts w:hint="default" w:ascii="Arial" w:hAnsi="Arial" w:eastAsia="Times New Roman" w:cs="Arial"/>
                <w:sz w:val="16"/>
                <w:szCs w:val="16"/>
              </w:rPr>
            </w:pPr>
            <w:r>
              <w:rPr>
                <w:rFonts w:hint="default" w:ascii="Arial" w:hAnsi="Arial" w:eastAsia="Times New Roman" w:cs="Arial"/>
                <w:sz w:val="16"/>
                <w:szCs w:val="16"/>
              </w:rPr>
              <w:t>SILENCIADO, COM NO MÍNIMO 180 KVA S, EM 127/220V, 60H, RESPEITANDO AS NORMAS VIGENTES.</w:t>
            </w:r>
          </w:p>
          <w:p w14:paraId="18EA81EA">
            <w:pPr>
              <w:widowControl w:val="0"/>
              <w:spacing w:after="0" w:line="276" w:lineRule="auto"/>
              <w:rPr>
                <w:rFonts w:hint="default" w:ascii="Arial" w:hAnsi="Arial" w:cs="Arial"/>
                <w:color w:val="000000" w:themeColor="text1"/>
                <w:sz w:val="16"/>
                <w:szCs w:val="16"/>
                <w:shd w:val="clear" w:color="auto" w:fill="FFFFFF"/>
                <w:lang w:val="pt-BR"/>
                <w14:textFill>
                  <w14:solidFill>
                    <w14:schemeClr w14:val="tx1"/>
                  </w14:solidFill>
                </w14:textFill>
              </w:rPr>
            </w:pPr>
            <w:r>
              <w:rPr>
                <w:rFonts w:hint="default" w:ascii="Arial" w:hAnsi="Arial" w:eastAsia="Times New Roman" w:cs="Arial"/>
                <w:sz w:val="16"/>
                <w:szCs w:val="16"/>
              </w:rPr>
              <w:t>PERÍODO DE 12 HORAS (STAND-BY)</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11D06">
            <w:pPr>
              <w:widowControl w:val="0"/>
              <w:spacing w:after="0" w:line="276" w:lineRule="auto"/>
              <w:jc w:val="center"/>
              <w:rPr>
                <w:rFonts w:hint="default" w:ascii="Arial" w:hAnsi="Arial" w:cs="Arial"/>
                <w:color w:val="000000" w:themeColor="text1"/>
                <w:sz w:val="16"/>
                <w:szCs w:val="16"/>
                <w:lang w:val="pt-BR"/>
                <w14:textFill>
                  <w14:solidFill>
                    <w14:schemeClr w14:val="tx1"/>
                  </w14:solidFill>
                </w14:textFill>
              </w:rPr>
            </w:pPr>
            <w:r>
              <w:rPr>
                <w:rFonts w:hint="default" w:ascii="Arial" w:hAnsi="Arial" w:eastAsia="Times New Roman" w:cs="Arial"/>
                <w:sz w:val="16"/>
                <w:szCs w:val="16"/>
              </w:rPr>
              <w:t>Diária</w:t>
            </w:r>
          </w:p>
        </w:tc>
        <w:tc>
          <w:tcPr>
            <w:tcW w:w="628" w:type="dxa"/>
            <w:tcBorders>
              <w:top w:val="single" w:color="000000" w:sz="4" w:space="0"/>
              <w:left w:val="single" w:color="000000" w:sz="4" w:space="0"/>
              <w:bottom w:val="single" w:color="000000" w:sz="4" w:space="0"/>
              <w:right w:val="single" w:color="000000" w:sz="4" w:space="0"/>
            </w:tcBorders>
            <w:vAlign w:val="center"/>
          </w:tcPr>
          <w:p w14:paraId="05399115">
            <w:pPr>
              <w:widowControl w:val="0"/>
              <w:spacing w:after="0" w:line="276" w:lineRule="auto"/>
              <w:jc w:val="center"/>
              <w:rPr>
                <w:rFonts w:hint="default" w:ascii="Arial" w:hAnsi="Arial" w:cs="Arial"/>
                <w:color w:val="000000" w:themeColor="text1"/>
                <w:sz w:val="16"/>
                <w:szCs w:val="16"/>
                <w:lang w:val="pt-BR"/>
                <w14:textFill>
                  <w14:solidFill>
                    <w14:schemeClr w14:val="tx1"/>
                  </w14:solidFill>
                </w14:textFill>
              </w:rPr>
            </w:pPr>
            <w:r>
              <w:rPr>
                <w:rFonts w:hint="default" w:ascii="Arial" w:hAnsi="Arial" w:eastAsia="Times New Roman" w:cs="Arial"/>
                <w:sz w:val="16"/>
                <w:szCs w:val="16"/>
              </w:rPr>
              <w:t>12</w:t>
            </w:r>
          </w:p>
        </w:tc>
        <w:tc>
          <w:tcPr>
            <w:tcW w:w="980" w:type="dxa"/>
            <w:tcBorders>
              <w:top w:val="single" w:color="000000" w:sz="4" w:space="0"/>
              <w:left w:val="single" w:color="000000" w:sz="4" w:space="0"/>
              <w:bottom w:val="single" w:color="000000" w:sz="4" w:space="0"/>
              <w:right w:val="single" w:color="000000" w:sz="4" w:space="0"/>
            </w:tcBorders>
          </w:tcPr>
          <w:p w14:paraId="5B0B2AC8">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05F47F39">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3AF932C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43CDC8D1">
        <w:tblPrEx>
          <w:tblCellMar>
            <w:top w:w="0" w:type="dxa"/>
            <w:left w:w="108" w:type="dxa"/>
            <w:bottom w:w="0" w:type="dxa"/>
            <w:right w:w="108" w:type="dxa"/>
          </w:tblCellMar>
        </w:tblPrEx>
        <w:trPr>
          <w:trHeight w:val="390"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4415">
            <w:pPr>
              <w:pStyle w:val="221"/>
              <w:numPr>
                <w:ilvl w:val="0"/>
                <w:numId w:val="0"/>
              </w:numPr>
              <w:spacing w:after="0" w:line="240" w:lineRule="auto"/>
              <w:jc w:val="center"/>
              <w:rPr>
                <w:rFonts w:hint="default" w:ascii="Arial" w:hAnsi="Arial" w:cs="Arial"/>
                <w:sz w:val="16"/>
                <w:szCs w:val="16"/>
                <w:lang w:val="pt-BR"/>
              </w:rPr>
            </w:pPr>
            <w:r>
              <w:rPr>
                <w:rFonts w:hint="default" w:ascii="Arial" w:hAnsi="Arial" w:cs="Arial"/>
                <w:sz w:val="16"/>
                <w:szCs w:val="16"/>
                <w:lang w:val="pt-BR"/>
              </w:rPr>
              <w:t>02</w:t>
            </w:r>
          </w:p>
        </w:tc>
        <w:tc>
          <w:tcPr>
            <w:tcW w:w="5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D55F3">
            <w:pPr>
              <w:widowControl w:val="0"/>
              <w:spacing w:after="0" w:line="276" w:lineRule="auto"/>
              <w:rPr>
                <w:rFonts w:hint="default" w:ascii="Arial" w:hAnsi="Arial" w:eastAsia="Times New Roman" w:cs="Arial"/>
                <w:sz w:val="16"/>
                <w:szCs w:val="16"/>
              </w:rPr>
            </w:pPr>
            <w:r>
              <w:rPr>
                <w:rFonts w:hint="default" w:ascii="Arial" w:hAnsi="Arial" w:eastAsia="Times New Roman" w:cs="Arial"/>
                <w:sz w:val="16"/>
                <w:szCs w:val="16"/>
              </w:rPr>
              <w:t>GERADOR: GRUPO GERADOR DE ENERGIA CABINADO,</w:t>
            </w:r>
          </w:p>
          <w:p w14:paraId="539952B6">
            <w:pPr>
              <w:widowControl w:val="0"/>
              <w:spacing w:after="0" w:line="276" w:lineRule="auto"/>
              <w:rPr>
                <w:rFonts w:hint="default" w:ascii="Arial" w:hAnsi="Arial" w:eastAsia="Times New Roman" w:cs="Arial"/>
                <w:sz w:val="16"/>
                <w:szCs w:val="16"/>
              </w:rPr>
            </w:pPr>
            <w:r>
              <w:rPr>
                <w:rFonts w:hint="default" w:ascii="Arial" w:hAnsi="Arial" w:eastAsia="Times New Roman" w:cs="Arial"/>
                <w:sz w:val="16"/>
                <w:szCs w:val="16"/>
              </w:rPr>
              <w:t>SILENCIADO COM NO MÍNIMO 180 KVA'S, EM 127/220V, 60H, RESPEITANDO AS NORMAS VIGENTES.</w:t>
            </w:r>
          </w:p>
          <w:p w14:paraId="0157C04B">
            <w:pPr>
              <w:widowControl w:val="0"/>
              <w:spacing w:after="0" w:line="276" w:lineRule="auto"/>
              <w:rPr>
                <w:rFonts w:hint="default" w:ascii="Arial" w:hAnsi="Arial" w:cs="Arial"/>
                <w:sz w:val="16"/>
                <w:szCs w:val="16"/>
                <w:lang w:val="pt-BR"/>
              </w:rPr>
            </w:pPr>
            <w:r>
              <w:rPr>
                <w:rFonts w:hint="default" w:ascii="Arial" w:hAnsi="Arial" w:eastAsia="Times New Roman" w:cs="Arial"/>
                <w:sz w:val="16"/>
                <w:szCs w:val="16"/>
              </w:rPr>
              <w:t>PERÍODO DE 12 HORAS (FUNCIONANDO)</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00885">
            <w:pPr>
              <w:widowControl w:val="0"/>
              <w:spacing w:after="0" w:line="276" w:lineRule="auto"/>
              <w:jc w:val="center"/>
              <w:rPr>
                <w:rFonts w:hint="default" w:ascii="Arial" w:hAnsi="Arial" w:cs="Arial"/>
                <w:sz w:val="16"/>
                <w:szCs w:val="16"/>
                <w:lang w:val="pt-BR"/>
              </w:rPr>
            </w:pPr>
            <w:r>
              <w:rPr>
                <w:rFonts w:hint="default" w:ascii="Arial" w:hAnsi="Arial" w:eastAsia="Times New Roman" w:cs="Arial"/>
                <w:sz w:val="16"/>
                <w:szCs w:val="16"/>
              </w:rPr>
              <w:t>Diária</w:t>
            </w:r>
          </w:p>
        </w:tc>
        <w:tc>
          <w:tcPr>
            <w:tcW w:w="628" w:type="dxa"/>
            <w:tcBorders>
              <w:top w:val="single" w:color="000000" w:sz="4" w:space="0"/>
              <w:left w:val="single" w:color="000000" w:sz="4" w:space="0"/>
              <w:bottom w:val="single" w:color="000000" w:sz="4" w:space="0"/>
              <w:right w:val="single" w:color="000000" w:sz="4" w:space="0"/>
            </w:tcBorders>
            <w:vAlign w:val="center"/>
          </w:tcPr>
          <w:p w14:paraId="256A920D">
            <w:pPr>
              <w:widowControl w:val="0"/>
              <w:spacing w:after="0" w:line="276" w:lineRule="auto"/>
              <w:jc w:val="center"/>
              <w:rPr>
                <w:rFonts w:hint="default" w:ascii="Arial" w:hAnsi="Arial" w:cs="Arial"/>
                <w:sz w:val="16"/>
                <w:szCs w:val="16"/>
                <w:lang w:val="pt-BR"/>
              </w:rPr>
            </w:pPr>
            <w:r>
              <w:rPr>
                <w:rFonts w:hint="default" w:ascii="Arial" w:hAnsi="Arial" w:eastAsia="Times New Roman" w:cs="Arial"/>
                <w:sz w:val="16"/>
                <w:szCs w:val="16"/>
              </w:rPr>
              <w:t>12</w:t>
            </w:r>
          </w:p>
        </w:tc>
        <w:tc>
          <w:tcPr>
            <w:tcW w:w="980" w:type="dxa"/>
            <w:tcBorders>
              <w:top w:val="single" w:color="000000" w:sz="4" w:space="0"/>
              <w:left w:val="single" w:color="000000" w:sz="4" w:space="0"/>
              <w:bottom w:val="single" w:color="000000" w:sz="4" w:space="0"/>
              <w:right w:val="single" w:color="000000" w:sz="4" w:space="0"/>
            </w:tcBorders>
          </w:tcPr>
          <w:p w14:paraId="6A3BC9E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27589FC8">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55500CF5">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2B42B9EA">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81949">
            <w:pPr>
              <w:spacing w:after="0" w:line="240" w:lineRule="auto"/>
              <w:jc w:val="center"/>
              <w:rPr>
                <w:rFonts w:hint="default" w:ascii="Arial" w:hAnsi="Arial" w:cs="Arial"/>
                <w:sz w:val="16"/>
                <w:szCs w:val="16"/>
                <w:lang w:val="pt-BR"/>
              </w:rPr>
            </w:pPr>
            <w:r>
              <w:rPr>
                <w:rFonts w:hint="default" w:ascii="Arial" w:hAnsi="Arial" w:cs="Arial"/>
                <w:sz w:val="16"/>
                <w:szCs w:val="16"/>
                <w:lang w:val="pt-BR"/>
              </w:rPr>
              <w:t>03</w:t>
            </w:r>
          </w:p>
        </w:tc>
        <w:tc>
          <w:tcPr>
            <w:tcW w:w="5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132AB">
            <w:pPr>
              <w:widowControl w:val="0"/>
              <w:spacing w:after="0" w:line="276" w:lineRule="auto"/>
              <w:rPr>
                <w:rFonts w:hint="default" w:ascii="Arial" w:hAnsi="Arial" w:eastAsia="Times New Roman" w:cs="Arial"/>
                <w:sz w:val="16"/>
                <w:szCs w:val="16"/>
              </w:rPr>
            </w:pPr>
            <w:r>
              <w:rPr>
                <w:rFonts w:hint="default" w:ascii="Arial" w:hAnsi="Arial" w:eastAsia="Times New Roman" w:cs="Arial"/>
                <w:sz w:val="16"/>
                <w:szCs w:val="16"/>
              </w:rPr>
              <w:t>GERADOR: GRUPO GERADOR DE ENERGIA CABINADO,</w:t>
            </w:r>
          </w:p>
          <w:p w14:paraId="2483CE73">
            <w:pPr>
              <w:widowControl w:val="0"/>
              <w:spacing w:after="0" w:line="276" w:lineRule="auto"/>
              <w:rPr>
                <w:rFonts w:hint="default" w:ascii="Arial" w:hAnsi="Arial" w:eastAsia="Times New Roman" w:cs="Arial"/>
                <w:sz w:val="16"/>
                <w:szCs w:val="16"/>
              </w:rPr>
            </w:pPr>
            <w:r>
              <w:rPr>
                <w:rFonts w:hint="default" w:ascii="Arial" w:hAnsi="Arial" w:eastAsia="Times New Roman" w:cs="Arial"/>
                <w:sz w:val="16"/>
                <w:szCs w:val="16"/>
              </w:rPr>
              <w:t>SILENCIADO COM NO MÍNIMO 260 KVA'S, EM 127/220V, 60H, RESPEITANDO AS NORMAS VIGENTES.</w:t>
            </w:r>
          </w:p>
          <w:p w14:paraId="222A175B">
            <w:pPr>
              <w:widowControl w:val="0"/>
              <w:spacing w:after="0" w:line="276" w:lineRule="auto"/>
              <w:rPr>
                <w:rFonts w:hint="default" w:ascii="Arial" w:hAnsi="Arial" w:cs="Arial"/>
                <w:color w:val="000000" w:themeColor="text1"/>
                <w:sz w:val="16"/>
                <w:szCs w:val="16"/>
                <w:shd w:val="clear" w:color="auto" w:fill="FFFFFF"/>
                <w:lang w:val="pt-BR"/>
                <w14:textFill>
                  <w14:solidFill>
                    <w14:schemeClr w14:val="tx1"/>
                  </w14:solidFill>
                </w14:textFill>
              </w:rPr>
            </w:pPr>
            <w:r>
              <w:rPr>
                <w:rFonts w:hint="default" w:ascii="Arial" w:hAnsi="Arial" w:eastAsia="Times New Roman" w:cs="Arial"/>
                <w:sz w:val="16"/>
                <w:szCs w:val="16"/>
              </w:rPr>
              <w:t>PERÍODO DE 12 HORAS (STAND - BY)</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B732A">
            <w:pPr>
              <w:widowControl w:val="0"/>
              <w:spacing w:after="0" w:line="276" w:lineRule="auto"/>
              <w:jc w:val="center"/>
              <w:rPr>
                <w:rFonts w:hint="default" w:ascii="Arial" w:hAnsi="Arial" w:cs="Arial"/>
                <w:color w:val="000000" w:themeColor="text1"/>
                <w:sz w:val="16"/>
                <w:szCs w:val="16"/>
                <w14:textFill>
                  <w14:solidFill>
                    <w14:schemeClr w14:val="tx1"/>
                  </w14:solidFill>
                </w14:textFill>
              </w:rPr>
            </w:pPr>
            <w:r>
              <w:rPr>
                <w:rFonts w:hint="default" w:ascii="Arial" w:hAnsi="Arial" w:eastAsia="Times New Roman" w:cs="Arial"/>
                <w:sz w:val="16"/>
                <w:szCs w:val="16"/>
              </w:rPr>
              <w:t>Diária</w:t>
            </w:r>
          </w:p>
        </w:tc>
        <w:tc>
          <w:tcPr>
            <w:tcW w:w="628" w:type="dxa"/>
            <w:tcBorders>
              <w:top w:val="single" w:color="000000" w:sz="4" w:space="0"/>
              <w:left w:val="single" w:color="000000" w:sz="4" w:space="0"/>
              <w:bottom w:val="single" w:color="000000" w:sz="4" w:space="0"/>
              <w:right w:val="single" w:color="000000" w:sz="4" w:space="0"/>
            </w:tcBorders>
            <w:vAlign w:val="center"/>
          </w:tcPr>
          <w:p w14:paraId="1A7E3226">
            <w:pPr>
              <w:widowControl w:val="0"/>
              <w:spacing w:after="0" w:line="276" w:lineRule="auto"/>
              <w:jc w:val="center"/>
              <w:rPr>
                <w:rFonts w:hint="default" w:ascii="Arial" w:hAnsi="Arial" w:cs="Arial"/>
                <w:color w:val="000000" w:themeColor="text1"/>
                <w:sz w:val="16"/>
                <w:szCs w:val="16"/>
                <w:lang w:val="pt-BR"/>
                <w14:textFill>
                  <w14:solidFill>
                    <w14:schemeClr w14:val="tx1"/>
                  </w14:solidFill>
                </w14:textFill>
              </w:rPr>
            </w:pPr>
            <w:r>
              <w:rPr>
                <w:rFonts w:hint="default" w:ascii="Arial" w:hAnsi="Arial" w:eastAsia="Times New Roman" w:cs="Arial"/>
                <w:sz w:val="16"/>
                <w:szCs w:val="16"/>
              </w:rPr>
              <w:t>12</w:t>
            </w:r>
          </w:p>
        </w:tc>
        <w:tc>
          <w:tcPr>
            <w:tcW w:w="980" w:type="dxa"/>
            <w:tcBorders>
              <w:top w:val="single" w:color="000000" w:sz="4" w:space="0"/>
              <w:left w:val="single" w:color="000000" w:sz="4" w:space="0"/>
              <w:bottom w:val="single" w:color="000000" w:sz="4" w:space="0"/>
              <w:right w:val="single" w:color="000000" w:sz="4" w:space="0"/>
            </w:tcBorders>
          </w:tcPr>
          <w:p w14:paraId="725811A7">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067B586C">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3C076C7F">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63885314">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BD701">
            <w:pPr>
              <w:spacing w:after="0" w:line="240" w:lineRule="auto"/>
              <w:jc w:val="center"/>
              <w:rPr>
                <w:rFonts w:hint="default" w:ascii="Arial" w:hAnsi="Arial" w:cs="Arial"/>
                <w:sz w:val="16"/>
                <w:szCs w:val="16"/>
                <w:lang w:val="pt-BR"/>
              </w:rPr>
            </w:pPr>
            <w:r>
              <w:rPr>
                <w:rFonts w:hint="default" w:ascii="Arial" w:hAnsi="Arial" w:cs="Arial"/>
                <w:sz w:val="16"/>
                <w:szCs w:val="16"/>
                <w:lang w:val="pt-BR"/>
              </w:rPr>
              <w:t>04</w:t>
            </w:r>
          </w:p>
        </w:tc>
        <w:tc>
          <w:tcPr>
            <w:tcW w:w="5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11946">
            <w:pPr>
              <w:widowControl w:val="0"/>
              <w:spacing w:after="0" w:line="276" w:lineRule="auto"/>
              <w:rPr>
                <w:rFonts w:hint="default" w:ascii="Arial" w:hAnsi="Arial" w:eastAsia="Times New Roman" w:cs="Arial"/>
                <w:sz w:val="16"/>
                <w:szCs w:val="16"/>
              </w:rPr>
            </w:pPr>
            <w:r>
              <w:rPr>
                <w:rFonts w:hint="default" w:ascii="Arial" w:hAnsi="Arial" w:eastAsia="Times New Roman" w:cs="Arial"/>
                <w:sz w:val="16"/>
                <w:szCs w:val="16"/>
              </w:rPr>
              <w:t>GERADOR: GRUPO GERADOR DE ENERGIA CABINADO,</w:t>
            </w:r>
          </w:p>
          <w:p w14:paraId="67A7ED4C">
            <w:pPr>
              <w:widowControl w:val="0"/>
              <w:spacing w:after="0" w:line="276" w:lineRule="auto"/>
              <w:rPr>
                <w:rFonts w:hint="default" w:ascii="Arial" w:hAnsi="Arial" w:eastAsia="Times New Roman" w:cs="Arial"/>
                <w:sz w:val="16"/>
                <w:szCs w:val="16"/>
              </w:rPr>
            </w:pPr>
            <w:r>
              <w:rPr>
                <w:rFonts w:hint="default" w:ascii="Arial" w:hAnsi="Arial" w:eastAsia="Times New Roman" w:cs="Arial"/>
                <w:sz w:val="16"/>
                <w:szCs w:val="16"/>
              </w:rPr>
              <w:t>SILENCIADO COM NO MÍNIMO 260 KVA'S, EM 127/220V, 60H, RESPEITANDO AS NORMAS VIGENTES.</w:t>
            </w:r>
          </w:p>
          <w:p w14:paraId="42A4DBBB">
            <w:pPr>
              <w:widowControl w:val="0"/>
              <w:spacing w:after="0" w:line="276" w:lineRule="auto"/>
              <w:rPr>
                <w:rFonts w:hint="default" w:ascii="Arial" w:hAnsi="Arial" w:cs="Arial"/>
                <w:b/>
                <w:color w:val="000000"/>
                <w:sz w:val="16"/>
                <w:szCs w:val="16"/>
              </w:rPr>
            </w:pPr>
            <w:r>
              <w:rPr>
                <w:rFonts w:hint="default" w:ascii="Arial" w:hAnsi="Arial" w:eastAsia="Times New Roman" w:cs="Arial"/>
                <w:sz w:val="16"/>
                <w:szCs w:val="16"/>
              </w:rPr>
              <w:t>PERÍODO DE 12 HORAS (FUNCIONANDO)</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62E47">
            <w:pPr>
              <w:widowControl w:val="0"/>
              <w:spacing w:after="0" w:line="276" w:lineRule="auto"/>
              <w:jc w:val="center"/>
              <w:rPr>
                <w:rFonts w:hint="default" w:ascii="Arial" w:hAnsi="Arial" w:cs="Arial"/>
                <w:sz w:val="16"/>
                <w:szCs w:val="16"/>
              </w:rPr>
            </w:pPr>
            <w:r>
              <w:rPr>
                <w:rFonts w:hint="default" w:ascii="Arial" w:hAnsi="Arial" w:eastAsia="Times New Roman" w:cs="Arial"/>
                <w:sz w:val="16"/>
                <w:szCs w:val="16"/>
              </w:rPr>
              <w:t>Diária</w:t>
            </w:r>
          </w:p>
        </w:tc>
        <w:tc>
          <w:tcPr>
            <w:tcW w:w="628" w:type="dxa"/>
            <w:tcBorders>
              <w:top w:val="single" w:color="000000" w:sz="4" w:space="0"/>
              <w:left w:val="single" w:color="000000" w:sz="4" w:space="0"/>
              <w:bottom w:val="single" w:color="000000" w:sz="4" w:space="0"/>
              <w:right w:val="single" w:color="000000" w:sz="4" w:space="0"/>
            </w:tcBorders>
            <w:vAlign w:val="center"/>
          </w:tcPr>
          <w:p w14:paraId="5AE25A54">
            <w:pPr>
              <w:widowControl w:val="0"/>
              <w:spacing w:after="0" w:line="276" w:lineRule="auto"/>
              <w:jc w:val="center"/>
              <w:rPr>
                <w:rFonts w:hint="default" w:ascii="Arial" w:hAnsi="Arial" w:cs="Arial"/>
                <w:color w:val="000000" w:themeColor="text1"/>
                <w:sz w:val="16"/>
                <w:szCs w:val="16"/>
                <w:lang w:val="pt-BR"/>
                <w14:textFill>
                  <w14:solidFill>
                    <w14:schemeClr w14:val="tx1"/>
                  </w14:solidFill>
                </w14:textFill>
              </w:rPr>
            </w:pPr>
            <w:r>
              <w:rPr>
                <w:rFonts w:hint="default" w:ascii="Arial" w:hAnsi="Arial" w:eastAsia="Times New Roman" w:cs="Arial"/>
                <w:sz w:val="16"/>
                <w:szCs w:val="16"/>
              </w:rPr>
              <w:t>12</w:t>
            </w:r>
          </w:p>
        </w:tc>
        <w:tc>
          <w:tcPr>
            <w:tcW w:w="980" w:type="dxa"/>
            <w:tcBorders>
              <w:top w:val="single" w:color="000000" w:sz="4" w:space="0"/>
              <w:left w:val="single" w:color="000000" w:sz="4" w:space="0"/>
              <w:bottom w:val="single" w:color="000000" w:sz="4" w:space="0"/>
              <w:right w:val="single" w:color="000000" w:sz="4" w:space="0"/>
            </w:tcBorders>
          </w:tcPr>
          <w:p w14:paraId="0993112C">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4368B872">
            <w:pPr>
              <w:spacing w:after="0" w:line="240" w:lineRule="auto"/>
              <w:ind w:left="0" w:leftChars="0" w:firstLine="0" w:firstLineChars="0"/>
              <w:jc w:val="center"/>
              <w:rPr>
                <w:rFonts w:hint="default" w:ascii="Arial" w:hAnsi="Arial" w:cs="Arial"/>
                <w:color w:val="000000" w:themeColor="text1"/>
                <w:sz w:val="16"/>
                <w:szCs w:val="16"/>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24D453D6">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r w14:paraId="793310FE">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Pr>
          <w:p w14:paraId="2EA34F72">
            <w:pPr>
              <w:spacing w:after="0" w:line="240" w:lineRule="auto"/>
              <w:ind w:left="0" w:leftChars="0" w:firstLine="0" w:firstLineChars="0"/>
              <w:jc w:val="both"/>
              <w:rPr>
                <w:rFonts w:hint="default" w:ascii="Arial" w:hAnsi="Arial" w:cs="Arial"/>
                <w:sz w:val="16"/>
                <w:szCs w:val="16"/>
                <w:lang w:val="pt-BR"/>
              </w:rPr>
            </w:pPr>
          </w:p>
        </w:tc>
        <w:tc>
          <w:tcPr>
            <w:tcW w:w="5027" w:type="dxa"/>
            <w:tcBorders>
              <w:top w:val="single" w:color="000000" w:sz="4" w:space="0"/>
              <w:left w:val="single" w:color="000000" w:sz="4" w:space="0"/>
              <w:bottom w:val="single" w:color="000000" w:sz="4" w:space="0"/>
              <w:right w:val="single" w:color="000000" w:sz="4" w:space="0"/>
            </w:tcBorders>
            <w:shd w:val="clear" w:color="auto" w:fill="auto"/>
          </w:tcPr>
          <w:p w14:paraId="3F31805F">
            <w:pPr>
              <w:spacing w:after="0" w:line="240" w:lineRule="auto"/>
              <w:ind w:left="0" w:leftChars="0" w:firstLine="0" w:firstLineChars="0"/>
              <w:jc w:val="both"/>
              <w:rPr>
                <w:rFonts w:hint="default" w:ascii="Arial" w:hAnsi="Arial" w:cs="Arial"/>
                <w:color w:val="000000" w:themeColor="text1"/>
                <w:sz w:val="16"/>
                <w:szCs w:val="16"/>
                <w:shd w:val="clear" w:color="auto" w:fill="FFFFFF"/>
                <w14:textFill>
                  <w14:solidFill>
                    <w14:schemeClr w14:val="tx1"/>
                  </w14:solidFill>
                </w14:textFill>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tcPr>
          <w:p w14:paraId="291BFC42">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628" w:type="dxa"/>
            <w:tcBorders>
              <w:top w:val="single" w:color="000000" w:sz="4" w:space="0"/>
              <w:left w:val="single" w:color="000000" w:sz="4" w:space="0"/>
              <w:bottom w:val="single" w:color="000000" w:sz="4" w:space="0"/>
              <w:right w:val="single" w:color="000000" w:sz="4" w:space="0"/>
            </w:tcBorders>
          </w:tcPr>
          <w:p w14:paraId="40B7A3AA">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tcPr>
          <w:p w14:paraId="29318440">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5BE63E25">
            <w:pPr>
              <w:spacing w:after="0" w:line="240" w:lineRule="auto"/>
              <w:ind w:left="0" w:leftChars="0" w:firstLine="0" w:firstLineChars="0"/>
              <w:jc w:val="both"/>
              <w:rPr>
                <w:rFonts w:hint="default" w:ascii="Arial" w:hAnsi="Arial" w:cs="Arial"/>
                <w:color w:val="000000" w:themeColor="text1"/>
                <w:sz w:val="16"/>
                <w:szCs w:val="16"/>
                <w:shd w:val="clear" w:color="auto" w:fill="FFFFFF"/>
                <w:lang w:val="pt-BR"/>
                <w14:textFill>
                  <w14:solidFill>
                    <w14:schemeClr w14:val="tx1"/>
                  </w14:solidFill>
                </w14:textFill>
              </w:rPr>
            </w:pPr>
            <w:r>
              <w:rPr>
                <w:rFonts w:hint="default" w:ascii="Arial" w:hAnsi="Arial" w:cs="Arial"/>
                <w:b/>
                <w:bCs/>
                <w:color w:val="000000" w:themeColor="text1"/>
                <w:sz w:val="16"/>
                <w:szCs w:val="16"/>
                <w:shd w:val="clear" w:color="auto" w:fill="FFFFFF"/>
                <w:lang w:val="pt-BR"/>
                <w14:textFill>
                  <w14:solidFill>
                    <w14:schemeClr w14:val="tx1"/>
                  </w14:solidFill>
                </w14:textFill>
              </w:rPr>
              <w:t xml:space="preserve">TOTAL DO LOTE: </w:t>
            </w:r>
          </w:p>
        </w:tc>
        <w:tc>
          <w:tcPr>
            <w:tcW w:w="1271" w:type="dxa"/>
            <w:tcBorders>
              <w:top w:val="single" w:color="000000" w:sz="4" w:space="0"/>
              <w:left w:val="single" w:color="000000" w:sz="4" w:space="0"/>
              <w:bottom w:val="single" w:color="000000" w:sz="4" w:space="0"/>
              <w:right w:val="single" w:color="000000" w:sz="4" w:space="0"/>
            </w:tcBorders>
          </w:tcPr>
          <w:p w14:paraId="069A7263">
            <w:pPr>
              <w:spacing w:after="0" w:line="240" w:lineRule="auto"/>
              <w:ind w:left="0" w:leftChars="0" w:firstLine="0" w:firstLineChars="0"/>
              <w:jc w:val="center"/>
              <w:rPr>
                <w:rFonts w:hint="default" w:ascii="Arial" w:hAnsi="Arial" w:cs="Arial"/>
                <w:color w:val="000000" w:themeColor="text1"/>
                <w:sz w:val="16"/>
                <w:szCs w:val="16"/>
                <w14:textFill>
                  <w14:solidFill>
                    <w14:schemeClr w14:val="tx1"/>
                  </w14:solidFill>
                </w14:textFill>
              </w:rPr>
            </w:pPr>
          </w:p>
        </w:tc>
      </w:tr>
    </w:tbl>
    <w:p w14:paraId="604C06AF">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7CC2177C">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4F522304">
      <w:pPr>
        <w:jc w:val="center"/>
        <w:rPr>
          <w:rFonts w:ascii="Arial" w:hAnsi="Arial" w:cs="Arial"/>
          <w:b/>
          <w:bCs/>
          <w:sz w:val="32"/>
          <w:szCs w:val="32"/>
        </w:rPr>
      </w:pPr>
    </w:p>
    <w:p w14:paraId="2E58626E">
      <w:pPr>
        <w:jc w:val="center"/>
        <w:rPr>
          <w:rFonts w:ascii="Arial" w:hAnsi="Arial" w:cs="Arial"/>
          <w:b/>
          <w:bCs/>
          <w:sz w:val="32"/>
          <w:szCs w:val="32"/>
        </w:rPr>
      </w:pPr>
    </w:p>
    <w:p w14:paraId="53F9CA81">
      <w:pPr>
        <w:jc w:val="center"/>
        <w:rPr>
          <w:rFonts w:ascii="Arial" w:hAnsi="Arial" w:cs="Arial"/>
          <w:b/>
          <w:bCs/>
          <w:sz w:val="32"/>
          <w:szCs w:val="32"/>
        </w:rPr>
      </w:pPr>
    </w:p>
    <w:p w14:paraId="454F2F51">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039/2024</w:t>
      </w:r>
      <w:r>
        <w:rPr>
          <w:rFonts w:hint="default" w:ascii="Arial" w:hAnsi="Arial" w:cs="Arial"/>
          <w:sz w:val="17"/>
          <w:szCs w:val="17"/>
        </w:rPr>
        <w:t xml:space="preserve">, Processo Administrativo n.º </w:t>
      </w:r>
      <w:r>
        <w:rPr>
          <w:rFonts w:hint="default" w:ascii="Arial" w:hAnsi="Arial" w:cs="Arial"/>
          <w:sz w:val="17"/>
          <w:szCs w:val="17"/>
          <w:lang w:val="pt-BR"/>
        </w:rPr>
        <w:t>086/2024</w:t>
      </w:r>
      <w:r>
        <w:rPr>
          <w:rFonts w:hint="default" w:ascii="Arial" w:hAnsi="Arial" w:cs="Arial"/>
          <w:sz w:val="17"/>
          <w:szCs w:val="17"/>
        </w:rPr>
        <w:t xml:space="preserve">, Pregão Eletrônico n° </w:t>
      </w:r>
      <w:r>
        <w:rPr>
          <w:rFonts w:hint="default" w:ascii="Arial" w:hAnsi="Arial" w:cs="Arial"/>
          <w:sz w:val="17"/>
          <w:szCs w:val="17"/>
          <w:lang w:val="pt-BR"/>
        </w:rPr>
        <w:t>054/2024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18"/>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preços </w:t>
      </w:r>
      <w:r>
        <w:rPr>
          <w:rFonts w:hint="default" w:ascii="Arial" w:hAnsi="Arial" w:eastAsia="Tahoma" w:cs="Arial"/>
          <w:sz w:val="17"/>
          <w:szCs w:val="17"/>
        </w:rPr>
        <w:t xml:space="preserve">para futura e eventual </w:t>
      </w:r>
      <w:r>
        <w:rPr>
          <w:rFonts w:hint="default" w:ascii="Arial" w:hAnsi="Arial" w:cs="Arial"/>
          <w:sz w:val="17"/>
          <w:szCs w:val="17"/>
        </w:rPr>
        <w:t>contratação de</w:t>
      </w:r>
      <w:r>
        <w:rPr>
          <w:rFonts w:hint="default" w:ascii="Arial" w:hAnsi="Arial" w:cs="Arial"/>
          <w:b w:val="0"/>
          <w:bCs w:val="0"/>
          <w:sz w:val="17"/>
          <w:szCs w:val="17"/>
        </w:rPr>
        <w:t xml:space="preserve"> </w:t>
      </w:r>
      <w:r>
        <w:rPr>
          <w:rFonts w:hint="default"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serviços de locação de geradores de energia, para atender às demandas da Secretaria de Cultura e Turismo da Prefeitura de Cataguases-MG</w:t>
      </w:r>
      <w:r>
        <w:rPr>
          <w:rFonts w:hint="default" w:ascii="Arial" w:hAnsi="Arial" w:cs="Arial"/>
          <w:sz w:val="17"/>
          <w:szCs w:val="17"/>
        </w:rPr>
        <w:t>, a saber:</w:t>
      </w:r>
    </w:p>
    <w:tbl>
      <w:tblPr>
        <w:tblStyle w:val="5"/>
        <w:tblpPr w:leftFromText="180" w:rightFromText="180" w:vertAnchor="text" w:horzAnchor="page" w:tblpXSpec="center" w:tblpY="254"/>
        <w:tblOverlap w:val="never"/>
        <w:tblW w:w="10508" w:type="dxa"/>
        <w:jc w:val="center"/>
        <w:tblLayout w:type="fixed"/>
        <w:tblCellMar>
          <w:top w:w="0" w:type="dxa"/>
          <w:left w:w="108" w:type="dxa"/>
          <w:bottom w:w="0" w:type="dxa"/>
          <w:right w:w="108" w:type="dxa"/>
        </w:tblCellMar>
      </w:tblPr>
      <w:tblGrid>
        <w:gridCol w:w="687"/>
        <w:gridCol w:w="5027"/>
        <w:gridCol w:w="736"/>
        <w:gridCol w:w="628"/>
        <w:gridCol w:w="980"/>
        <w:gridCol w:w="1179"/>
        <w:gridCol w:w="1271"/>
      </w:tblGrid>
      <w:tr w14:paraId="603587F6">
        <w:tblPrEx>
          <w:tblCellMar>
            <w:top w:w="0" w:type="dxa"/>
            <w:left w:w="108" w:type="dxa"/>
            <w:bottom w:w="0" w:type="dxa"/>
            <w:right w:w="108" w:type="dxa"/>
          </w:tblCellMar>
        </w:tblPrEx>
        <w:trPr>
          <w:trHeight w:val="376" w:hRule="atLeast"/>
          <w:jc w:val="center"/>
        </w:trPr>
        <w:tc>
          <w:tcPr>
            <w:tcW w:w="10508" w:type="dxa"/>
            <w:gridSpan w:val="7"/>
            <w:tcBorders>
              <w:top w:val="single" w:color="000000" w:sz="4" w:space="0"/>
              <w:left w:val="single" w:color="000000" w:sz="4" w:space="0"/>
              <w:bottom w:val="single" w:color="000000" w:sz="4" w:space="0"/>
              <w:right w:val="single" w:color="000000" w:sz="4" w:space="0"/>
            </w:tcBorders>
            <w:shd w:val="clear" w:color="auto" w:fill="auto"/>
          </w:tcPr>
          <w:p w14:paraId="2AEE753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r>
      <w:tr w14:paraId="508B6BCD">
        <w:tblPrEx>
          <w:tblCellMar>
            <w:top w:w="0" w:type="dxa"/>
            <w:left w:w="108" w:type="dxa"/>
            <w:bottom w:w="0" w:type="dxa"/>
            <w:right w:w="108" w:type="dxa"/>
          </w:tblCellMar>
        </w:tblPrEx>
        <w:trPr>
          <w:trHeight w:val="376"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Pr>
          <w:p w14:paraId="7606A5F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5027" w:type="dxa"/>
            <w:tcBorders>
              <w:top w:val="single" w:color="000000" w:sz="4" w:space="0"/>
              <w:left w:val="single" w:color="000000" w:sz="4" w:space="0"/>
              <w:bottom w:val="single" w:color="000000" w:sz="4" w:space="0"/>
              <w:right w:val="single" w:color="000000" w:sz="4" w:space="0"/>
            </w:tcBorders>
            <w:shd w:val="clear" w:color="auto" w:fill="auto"/>
          </w:tcPr>
          <w:p w14:paraId="657CF46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736" w:type="dxa"/>
            <w:tcBorders>
              <w:top w:val="single" w:color="000000" w:sz="4" w:space="0"/>
              <w:left w:val="single" w:color="000000" w:sz="4" w:space="0"/>
              <w:bottom w:val="single" w:color="000000" w:sz="4" w:space="0"/>
              <w:right w:val="single" w:color="000000" w:sz="4" w:space="0"/>
            </w:tcBorders>
            <w:shd w:val="clear" w:color="auto" w:fill="auto"/>
          </w:tcPr>
          <w:p w14:paraId="785C59A9">
            <w:pPr>
              <w:tabs>
                <w:tab w:val="left" w:pos="720"/>
              </w:tabs>
              <w:spacing w:after="0" w:line="240" w:lineRule="auto"/>
              <w:ind w:right="62" w:rightChars="26"/>
              <w:jc w:val="center"/>
              <w:rPr>
                <w:rFonts w:hint="default" w:ascii="Arial" w:hAnsi="Arial" w:cs="Arial"/>
                <w:b/>
                <w:sz w:val="17"/>
                <w:szCs w:val="17"/>
                <w:lang w:val="pt-BR"/>
              </w:rPr>
            </w:pPr>
            <w:r>
              <w:rPr>
                <w:rFonts w:hint="default" w:ascii="Arial" w:hAnsi="Arial" w:cs="Arial"/>
                <w:b/>
                <w:sz w:val="17"/>
                <w:szCs w:val="17"/>
                <w:lang w:val="pt-BR"/>
              </w:rPr>
              <w:t>UND</w:t>
            </w:r>
          </w:p>
        </w:tc>
        <w:tc>
          <w:tcPr>
            <w:tcW w:w="628" w:type="dxa"/>
            <w:tcBorders>
              <w:top w:val="single" w:color="000000" w:sz="4" w:space="0"/>
              <w:left w:val="single" w:color="000000" w:sz="4" w:space="0"/>
              <w:bottom w:val="single" w:color="000000" w:sz="4" w:space="0"/>
              <w:right w:val="single" w:color="000000" w:sz="4" w:space="0"/>
            </w:tcBorders>
          </w:tcPr>
          <w:p w14:paraId="538C559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QTD</w:t>
            </w:r>
          </w:p>
        </w:tc>
        <w:tc>
          <w:tcPr>
            <w:tcW w:w="980" w:type="dxa"/>
            <w:tcBorders>
              <w:top w:val="single" w:color="000000" w:sz="4" w:space="0"/>
              <w:left w:val="single" w:color="000000" w:sz="4" w:space="0"/>
              <w:bottom w:val="single" w:color="000000" w:sz="4" w:space="0"/>
              <w:right w:val="single" w:color="000000" w:sz="4" w:space="0"/>
            </w:tcBorders>
          </w:tcPr>
          <w:p w14:paraId="444B99D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79" w:type="dxa"/>
            <w:tcBorders>
              <w:top w:val="single" w:color="000000" w:sz="4" w:space="0"/>
              <w:left w:val="single" w:color="000000" w:sz="4" w:space="0"/>
              <w:bottom w:val="single" w:color="000000" w:sz="4" w:space="0"/>
              <w:right w:val="single" w:color="000000" w:sz="4" w:space="0"/>
            </w:tcBorders>
          </w:tcPr>
          <w:p w14:paraId="016E279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71" w:type="dxa"/>
            <w:tcBorders>
              <w:top w:val="single" w:color="000000" w:sz="4" w:space="0"/>
              <w:left w:val="single" w:color="000000" w:sz="4" w:space="0"/>
              <w:bottom w:val="single" w:color="000000" w:sz="4" w:space="0"/>
              <w:right w:val="single" w:color="000000" w:sz="4" w:space="0"/>
            </w:tcBorders>
          </w:tcPr>
          <w:p w14:paraId="3655CF8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603B171">
        <w:tblPrEx>
          <w:tblCellMar>
            <w:top w:w="0" w:type="dxa"/>
            <w:left w:w="108" w:type="dxa"/>
            <w:bottom w:w="0" w:type="dxa"/>
            <w:right w:w="108" w:type="dxa"/>
          </w:tblCellMar>
        </w:tblPrEx>
        <w:trPr>
          <w:trHeight w:val="330"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DCE3E">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01</w:t>
            </w:r>
          </w:p>
        </w:tc>
        <w:tc>
          <w:tcPr>
            <w:tcW w:w="5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6936A">
            <w:pPr>
              <w:widowControl w:val="0"/>
              <w:spacing w:after="0" w:line="276" w:lineRule="auto"/>
              <w:rPr>
                <w:rFonts w:hint="default" w:ascii="Arial" w:hAnsi="Arial" w:eastAsia="Times New Roman" w:cs="Arial"/>
                <w:sz w:val="17"/>
                <w:szCs w:val="17"/>
              </w:rPr>
            </w:pPr>
            <w:r>
              <w:rPr>
                <w:rFonts w:hint="default" w:ascii="Arial" w:hAnsi="Arial" w:eastAsia="Times New Roman" w:cs="Arial"/>
                <w:sz w:val="17"/>
                <w:szCs w:val="17"/>
              </w:rPr>
              <w:t xml:space="preserve">GERADOR: GRUPO GERADOR DE ENERGIA CABINADO, </w:t>
            </w:r>
          </w:p>
          <w:p w14:paraId="19A6D2F3">
            <w:pPr>
              <w:widowControl w:val="0"/>
              <w:tabs>
                <w:tab w:val="left" w:pos="4560"/>
              </w:tabs>
              <w:spacing w:after="0" w:line="276" w:lineRule="auto"/>
              <w:rPr>
                <w:rFonts w:hint="default" w:ascii="Arial" w:hAnsi="Arial" w:eastAsia="Times New Roman" w:cs="Arial"/>
                <w:sz w:val="17"/>
                <w:szCs w:val="17"/>
              </w:rPr>
            </w:pPr>
            <w:r>
              <w:rPr>
                <w:rFonts w:hint="default" w:ascii="Arial" w:hAnsi="Arial" w:eastAsia="Times New Roman" w:cs="Arial"/>
                <w:sz w:val="17"/>
                <w:szCs w:val="17"/>
              </w:rPr>
              <w:t>SILENCIADO, COM NO MÍNIMO 180 KVA S, EM 127/220V, 60H, RESPEITANDO AS NORMAS VIGENTES.</w:t>
            </w:r>
          </w:p>
          <w:p w14:paraId="4DB953C5">
            <w:pPr>
              <w:widowControl w:val="0"/>
              <w:spacing w:after="0" w:line="276" w:lineRule="auto"/>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eastAsia="Times New Roman" w:cs="Arial"/>
                <w:sz w:val="17"/>
                <w:szCs w:val="17"/>
              </w:rPr>
              <w:t>PERÍODO DE 12 HORAS (STAND-BY)</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3A903">
            <w:pPr>
              <w:widowControl w:val="0"/>
              <w:spacing w:after="0" w:line="276"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Times New Roman" w:cs="Arial"/>
                <w:sz w:val="17"/>
                <w:szCs w:val="17"/>
              </w:rPr>
              <w:t>Diária</w:t>
            </w:r>
          </w:p>
        </w:tc>
        <w:tc>
          <w:tcPr>
            <w:tcW w:w="628" w:type="dxa"/>
            <w:tcBorders>
              <w:top w:val="single" w:color="000000" w:sz="4" w:space="0"/>
              <w:left w:val="single" w:color="000000" w:sz="4" w:space="0"/>
              <w:bottom w:val="single" w:color="000000" w:sz="4" w:space="0"/>
              <w:right w:val="single" w:color="000000" w:sz="4" w:space="0"/>
            </w:tcBorders>
            <w:vAlign w:val="center"/>
          </w:tcPr>
          <w:p w14:paraId="3E1CD347">
            <w:pPr>
              <w:widowControl w:val="0"/>
              <w:spacing w:after="0" w:line="276"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Times New Roman" w:cs="Arial"/>
                <w:sz w:val="17"/>
                <w:szCs w:val="17"/>
              </w:rPr>
              <w:t>12</w:t>
            </w:r>
          </w:p>
        </w:tc>
        <w:tc>
          <w:tcPr>
            <w:tcW w:w="980" w:type="dxa"/>
            <w:tcBorders>
              <w:top w:val="single" w:color="000000" w:sz="4" w:space="0"/>
              <w:left w:val="single" w:color="000000" w:sz="4" w:space="0"/>
              <w:bottom w:val="single" w:color="000000" w:sz="4" w:space="0"/>
              <w:right w:val="single" w:color="000000" w:sz="4" w:space="0"/>
            </w:tcBorders>
          </w:tcPr>
          <w:p w14:paraId="45B2A30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00BEBA82">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4B26F54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9141C2">
        <w:tblPrEx>
          <w:tblCellMar>
            <w:top w:w="0" w:type="dxa"/>
            <w:left w:w="108" w:type="dxa"/>
            <w:bottom w:w="0" w:type="dxa"/>
            <w:right w:w="108" w:type="dxa"/>
          </w:tblCellMar>
        </w:tblPrEx>
        <w:trPr>
          <w:trHeight w:val="390"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24A85">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02</w:t>
            </w:r>
          </w:p>
        </w:tc>
        <w:tc>
          <w:tcPr>
            <w:tcW w:w="5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4D29D">
            <w:pPr>
              <w:widowControl w:val="0"/>
              <w:spacing w:after="0" w:line="276" w:lineRule="auto"/>
              <w:rPr>
                <w:rFonts w:hint="default" w:ascii="Arial" w:hAnsi="Arial" w:eastAsia="Times New Roman" w:cs="Arial"/>
                <w:sz w:val="17"/>
                <w:szCs w:val="17"/>
              </w:rPr>
            </w:pPr>
            <w:r>
              <w:rPr>
                <w:rFonts w:hint="default" w:ascii="Arial" w:hAnsi="Arial" w:eastAsia="Times New Roman" w:cs="Arial"/>
                <w:sz w:val="17"/>
                <w:szCs w:val="17"/>
              </w:rPr>
              <w:t>GERADOR: GRUPO GERADOR DE ENERGIA CABINADO,</w:t>
            </w:r>
          </w:p>
          <w:p w14:paraId="08BC22EC">
            <w:pPr>
              <w:widowControl w:val="0"/>
              <w:spacing w:after="0" w:line="276" w:lineRule="auto"/>
              <w:rPr>
                <w:rFonts w:hint="default" w:ascii="Arial" w:hAnsi="Arial" w:eastAsia="Times New Roman" w:cs="Arial"/>
                <w:sz w:val="17"/>
                <w:szCs w:val="17"/>
              </w:rPr>
            </w:pPr>
            <w:r>
              <w:rPr>
                <w:rFonts w:hint="default" w:ascii="Arial" w:hAnsi="Arial" w:eastAsia="Times New Roman" w:cs="Arial"/>
                <w:sz w:val="17"/>
                <w:szCs w:val="17"/>
              </w:rPr>
              <w:t>SILENCIADO COM NO MÍNIMO 180 KVA'S, EM 127/220V, 60H, RESPEITANDO AS NORMAS VIGENTES.</w:t>
            </w:r>
          </w:p>
          <w:p w14:paraId="4F3358BE">
            <w:pPr>
              <w:widowControl w:val="0"/>
              <w:spacing w:after="0" w:line="276" w:lineRule="auto"/>
              <w:rPr>
                <w:rFonts w:hint="default" w:ascii="Arial" w:hAnsi="Arial" w:cs="Arial"/>
                <w:sz w:val="17"/>
                <w:szCs w:val="17"/>
                <w:lang w:val="pt-BR"/>
              </w:rPr>
            </w:pPr>
            <w:r>
              <w:rPr>
                <w:rFonts w:hint="default" w:ascii="Arial" w:hAnsi="Arial" w:eastAsia="Times New Roman" w:cs="Arial"/>
                <w:sz w:val="17"/>
                <w:szCs w:val="17"/>
              </w:rPr>
              <w:t>PERÍODO DE 12 HORAS (FUNCIONANDO)</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E58DB">
            <w:pPr>
              <w:widowControl w:val="0"/>
              <w:spacing w:after="0" w:line="276" w:lineRule="auto"/>
              <w:jc w:val="center"/>
              <w:rPr>
                <w:rFonts w:hint="default" w:ascii="Arial" w:hAnsi="Arial" w:cs="Arial"/>
                <w:sz w:val="17"/>
                <w:szCs w:val="17"/>
                <w:lang w:val="pt-BR"/>
              </w:rPr>
            </w:pPr>
            <w:r>
              <w:rPr>
                <w:rFonts w:hint="default" w:ascii="Arial" w:hAnsi="Arial" w:eastAsia="Times New Roman" w:cs="Arial"/>
                <w:sz w:val="17"/>
                <w:szCs w:val="17"/>
              </w:rPr>
              <w:t>Diária</w:t>
            </w:r>
          </w:p>
        </w:tc>
        <w:tc>
          <w:tcPr>
            <w:tcW w:w="628" w:type="dxa"/>
            <w:tcBorders>
              <w:top w:val="single" w:color="000000" w:sz="4" w:space="0"/>
              <w:left w:val="single" w:color="000000" w:sz="4" w:space="0"/>
              <w:bottom w:val="single" w:color="000000" w:sz="4" w:space="0"/>
              <w:right w:val="single" w:color="000000" w:sz="4" w:space="0"/>
            </w:tcBorders>
            <w:vAlign w:val="center"/>
          </w:tcPr>
          <w:p w14:paraId="39836196">
            <w:pPr>
              <w:widowControl w:val="0"/>
              <w:spacing w:after="0" w:line="276" w:lineRule="auto"/>
              <w:jc w:val="center"/>
              <w:rPr>
                <w:rFonts w:hint="default" w:ascii="Arial" w:hAnsi="Arial" w:cs="Arial"/>
                <w:sz w:val="17"/>
                <w:szCs w:val="17"/>
                <w:lang w:val="pt-BR"/>
              </w:rPr>
            </w:pPr>
            <w:r>
              <w:rPr>
                <w:rFonts w:hint="default" w:ascii="Arial" w:hAnsi="Arial" w:eastAsia="Times New Roman" w:cs="Arial"/>
                <w:sz w:val="17"/>
                <w:szCs w:val="17"/>
              </w:rPr>
              <w:t>12</w:t>
            </w:r>
          </w:p>
        </w:tc>
        <w:tc>
          <w:tcPr>
            <w:tcW w:w="980" w:type="dxa"/>
            <w:tcBorders>
              <w:top w:val="single" w:color="000000" w:sz="4" w:space="0"/>
              <w:left w:val="single" w:color="000000" w:sz="4" w:space="0"/>
              <w:bottom w:val="single" w:color="000000" w:sz="4" w:space="0"/>
              <w:right w:val="single" w:color="000000" w:sz="4" w:space="0"/>
            </w:tcBorders>
          </w:tcPr>
          <w:p w14:paraId="2DEE9C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4C57E207">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069044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CD63BA">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70124">
            <w:pPr>
              <w:spacing w:after="0" w:line="240" w:lineRule="auto"/>
              <w:jc w:val="center"/>
              <w:rPr>
                <w:rFonts w:hint="default" w:ascii="Arial" w:hAnsi="Arial" w:cs="Arial"/>
                <w:sz w:val="17"/>
                <w:szCs w:val="17"/>
                <w:lang w:val="pt-BR"/>
              </w:rPr>
            </w:pPr>
            <w:r>
              <w:rPr>
                <w:rFonts w:hint="default" w:ascii="Arial" w:hAnsi="Arial" w:cs="Arial"/>
                <w:sz w:val="17"/>
                <w:szCs w:val="17"/>
                <w:lang w:val="pt-BR"/>
              </w:rPr>
              <w:t>03</w:t>
            </w:r>
          </w:p>
        </w:tc>
        <w:tc>
          <w:tcPr>
            <w:tcW w:w="5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EE63F">
            <w:pPr>
              <w:widowControl w:val="0"/>
              <w:spacing w:after="0" w:line="276" w:lineRule="auto"/>
              <w:rPr>
                <w:rFonts w:hint="default" w:ascii="Arial" w:hAnsi="Arial" w:eastAsia="Times New Roman" w:cs="Arial"/>
                <w:sz w:val="17"/>
                <w:szCs w:val="17"/>
              </w:rPr>
            </w:pPr>
            <w:r>
              <w:rPr>
                <w:rFonts w:hint="default" w:ascii="Arial" w:hAnsi="Arial" w:eastAsia="Times New Roman" w:cs="Arial"/>
                <w:sz w:val="17"/>
                <w:szCs w:val="17"/>
              </w:rPr>
              <w:t>GERADOR: GRUPO GERADOR DE ENERGIA CABINADO,</w:t>
            </w:r>
          </w:p>
          <w:p w14:paraId="2E6BB09F">
            <w:pPr>
              <w:widowControl w:val="0"/>
              <w:spacing w:after="0" w:line="276" w:lineRule="auto"/>
              <w:rPr>
                <w:rFonts w:hint="default" w:ascii="Arial" w:hAnsi="Arial" w:eastAsia="Times New Roman" w:cs="Arial"/>
                <w:sz w:val="17"/>
                <w:szCs w:val="17"/>
              </w:rPr>
            </w:pPr>
            <w:r>
              <w:rPr>
                <w:rFonts w:hint="default" w:ascii="Arial" w:hAnsi="Arial" w:eastAsia="Times New Roman" w:cs="Arial"/>
                <w:sz w:val="17"/>
                <w:szCs w:val="17"/>
              </w:rPr>
              <w:t>SILENCIADO COM NO MÍNIMO 260 KVA'S, EM 127/220V, 60H, RESPEITANDO AS NORMAS VIGENTES.</w:t>
            </w:r>
          </w:p>
          <w:p w14:paraId="1ABF3769">
            <w:pPr>
              <w:widowControl w:val="0"/>
              <w:spacing w:after="0" w:line="276" w:lineRule="auto"/>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eastAsia="Times New Roman" w:cs="Arial"/>
                <w:sz w:val="17"/>
                <w:szCs w:val="17"/>
              </w:rPr>
              <w:t>PERÍODO DE 12 HORAS (STAND - BY)</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5A121">
            <w:pPr>
              <w:widowControl w:val="0"/>
              <w:spacing w:after="0" w:line="276"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sz w:val="17"/>
                <w:szCs w:val="17"/>
              </w:rPr>
              <w:t>Diária</w:t>
            </w:r>
          </w:p>
        </w:tc>
        <w:tc>
          <w:tcPr>
            <w:tcW w:w="628" w:type="dxa"/>
            <w:tcBorders>
              <w:top w:val="single" w:color="000000" w:sz="4" w:space="0"/>
              <w:left w:val="single" w:color="000000" w:sz="4" w:space="0"/>
              <w:bottom w:val="single" w:color="000000" w:sz="4" w:space="0"/>
              <w:right w:val="single" w:color="000000" w:sz="4" w:space="0"/>
            </w:tcBorders>
            <w:vAlign w:val="center"/>
          </w:tcPr>
          <w:p w14:paraId="62AC54B6">
            <w:pPr>
              <w:widowControl w:val="0"/>
              <w:spacing w:after="0" w:line="276"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Times New Roman" w:cs="Arial"/>
                <w:sz w:val="17"/>
                <w:szCs w:val="17"/>
              </w:rPr>
              <w:t>12</w:t>
            </w:r>
          </w:p>
        </w:tc>
        <w:tc>
          <w:tcPr>
            <w:tcW w:w="980" w:type="dxa"/>
            <w:tcBorders>
              <w:top w:val="single" w:color="000000" w:sz="4" w:space="0"/>
              <w:left w:val="single" w:color="000000" w:sz="4" w:space="0"/>
              <w:bottom w:val="single" w:color="000000" w:sz="4" w:space="0"/>
              <w:right w:val="single" w:color="000000" w:sz="4" w:space="0"/>
            </w:tcBorders>
          </w:tcPr>
          <w:p w14:paraId="225F67C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445F847B">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0712CCE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1D5B30">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161C6">
            <w:pPr>
              <w:spacing w:after="0" w:line="240" w:lineRule="auto"/>
              <w:jc w:val="center"/>
              <w:rPr>
                <w:rFonts w:hint="default" w:ascii="Arial" w:hAnsi="Arial" w:cs="Arial"/>
                <w:sz w:val="17"/>
                <w:szCs w:val="17"/>
                <w:lang w:val="pt-BR"/>
              </w:rPr>
            </w:pPr>
            <w:r>
              <w:rPr>
                <w:rFonts w:hint="default" w:ascii="Arial" w:hAnsi="Arial" w:cs="Arial"/>
                <w:sz w:val="17"/>
                <w:szCs w:val="17"/>
                <w:lang w:val="pt-BR"/>
              </w:rPr>
              <w:t>04</w:t>
            </w:r>
          </w:p>
        </w:tc>
        <w:tc>
          <w:tcPr>
            <w:tcW w:w="5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4EA83">
            <w:pPr>
              <w:widowControl w:val="0"/>
              <w:spacing w:after="0" w:line="276" w:lineRule="auto"/>
              <w:rPr>
                <w:rFonts w:hint="default" w:ascii="Arial" w:hAnsi="Arial" w:eastAsia="Times New Roman" w:cs="Arial"/>
                <w:sz w:val="17"/>
                <w:szCs w:val="17"/>
              </w:rPr>
            </w:pPr>
            <w:r>
              <w:rPr>
                <w:rFonts w:hint="default" w:ascii="Arial" w:hAnsi="Arial" w:eastAsia="Times New Roman" w:cs="Arial"/>
                <w:sz w:val="17"/>
                <w:szCs w:val="17"/>
              </w:rPr>
              <w:t>GERADOR: GRUPO GERADOR DE ENERGIA CABINADO,</w:t>
            </w:r>
          </w:p>
          <w:p w14:paraId="0840B754">
            <w:pPr>
              <w:widowControl w:val="0"/>
              <w:spacing w:after="0" w:line="276" w:lineRule="auto"/>
              <w:rPr>
                <w:rFonts w:hint="default" w:ascii="Arial" w:hAnsi="Arial" w:eastAsia="Times New Roman" w:cs="Arial"/>
                <w:sz w:val="17"/>
                <w:szCs w:val="17"/>
              </w:rPr>
            </w:pPr>
            <w:r>
              <w:rPr>
                <w:rFonts w:hint="default" w:ascii="Arial" w:hAnsi="Arial" w:eastAsia="Times New Roman" w:cs="Arial"/>
                <w:sz w:val="17"/>
                <w:szCs w:val="17"/>
              </w:rPr>
              <w:t>SILENCIADO COM NO MÍNIMO 260 KVA'S, EM 127/220V, 60H, RESPEITANDO AS NORMAS VIGENTES.</w:t>
            </w:r>
          </w:p>
          <w:p w14:paraId="0BBB5D2A">
            <w:pPr>
              <w:widowControl w:val="0"/>
              <w:spacing w:after="0" w:line="276" w:lineRule="auto"/>
              <w:rPr>
                <w:rFonts w:hint="default" w:ascii="Arial" w:hAnsi="Arial" w:cs="Arial"/>
                <w:b/>
                <w:color w:val="000000"/>
                <w:sz w:val="17"/>
                <w:szCs w:val="17"/>
              </w:rPr>
            </w:pPr>
            <w:r>
              <w:rPr>
                <w:rFonts w:hint="default" w:ascii="Arial" w:hAnsi="Arial" w:eastAsia="Times New Roman" w:cs="Arial"/>
                <w:sz w:val="17"/>
                <w:szCs w:val="17"/>
              </w:rPr>
              <w:t>PERÍODO DE 12 HORAS (FUNCIONANDO)</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5AB5">
            <w:pPr>
              <w:widowControl w:val="0"/>
              <w:spacing w:after="0" w:line="276" w:lineRule="auto"/>
              <w:jc w:val="center"/>
              <w:rPr>
                <w:rFonts w:hint="default" w:ascii="Arial" w:hAnsi="Arial" w:cs="Arial"/>
                <w:sz w:val="17"/>
                <w:szCs w:val="17"/>
              </w:rPr>
            </w:pPr>
            <w:r>
              <w:rPr>
                <w:rFonts w:hint="default" w:ascii="Arial" w:hAnsi="Arial" w:eastAsia="Times New Roman" w:cs="Arial"/>
                <w:sz w:val="17"/>
                <w:szCs w:val="17"/>
              </w:rPr>
              <w:t>Diária</w:t>
            </w:r>
          </w:p>
        </w:tc>
        <w:tc>
          <w:tcPr>
            <w:tcW w:w="628" w:type="dxa"/>
            <w:tcBorders>
              <w:top w:val="single" w:color="000000" w:sz="4" w:space="0"/>
              <w:left w:val="single" w:color="000000" w:sz="4" w:space="0"/>
              <w:bottom w:val="single" w:color="000000" w:sz="4" w:space="0"/>
              <w:right w:val="single" w:color="000000" w:sz="4" w:space="0"/>
            </w:tcBorders>
            <w:vAlign w:val="center"/>
          </w:tcPr>
          <w:p w14:paraId="654BED6F">
            <w:pPr>
              <w:widowControl w:val="0"/>
              <w:spacing w:after="0" w:line="276"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Times New Roman" w:cs="Arial"/>
                <w:sz w:val="17"/>
                <w:szCs w:val="17"/>
              </w:rPr>
              <w:t>12</w:t>
            </w:r>
          </w:p>
        </w:tc>
        <w:tc>
          <w:tcPr>
            <w:tcW w:w="980" w:type="dxa"/>
            <w:tcBorders>
              <w:top w:val="single" w:color="000000" w:sz="4" w:space="0"/>
              <w:left w:val="single" w:color="000000" w:sz="4" w:space="0"/>
              <w:bottom w:val="single" w:color="000000" w:sz="4" w:space="0"/>
              <w:right w:val="single" w:color="000000" w:sz="4" w:space="0"/>
            </w:tcBorders>
          </w:tcPr>
          <w:p w14:paraId="4733C6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5DD68AE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71" w:type="dxa"/>
            <w:tcBorders>
              <w:top w:val="single" w:color="000000" w:sz="4" w:space="0"/>
              <w:left w:val="single" w:color="000000" w:sz="4" w:space="0"/>
              <w:bottom w:val="single" w:color="000000" w:sz="4" w:space="0"/>
              <w:right w:val="single" w:color="000000" w:sz="4" w:space="0"/>
            </w:tcBorders>
          </w:tcPr>
          <w:p w14:paraId="7BBF3B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530817">
        <w:tblPrEx>
          <w:tblCellMar>
            <w:top w:w="0" w:type="dxa"/>
            <w:left w:w="108" w:type="dxa"/>
            <w:bottom w:w="0" w:type="dxa"/>
            <w:right w:w="108" w:type="dxa"/>
          </w:tblCellMar>
        </w:tblPrEx>
        <w:trPr>
          <w:trHeight w:val="28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Pr>
          <w:p w14:paraId="2E335A29">
            <w:pPr>
              <w:spacing w:after="0" w:line="240" w:lineRule="auto"/>
              <w:ind w:left="0" w:leftChars="0" w:firstLine="0" w:firstLineChars="0"/>
              <w:jc w:val="both"/>
              <w:rPr>
                <w:rFonts w:hint="default" w:ascii="Arial" w:hAnsi="Arial" w:cs="Arial"/>
                <w:sz w:val="17"/>
                <w:szCs w:val="17"/>
                <w:lang w:val="pt-BR"/>
              </w:rPr>
            </w:pPr>
          </w:p>
        </w:tc>
        <w:tc>
          <w:tcPr>
            <w:tcW w:w="5027" w:type="dxa"/>
            <w:tcBorders>
              <w:top w:val="single" w:color="000000" w:sz="4" w:space="0"/>
              <w:left w:val="single" w:color="000000" w:sz="4" w:space="0"/>
              <w:bottom w:val="single" w:color="000000" w:sz="4" w:space="0"/>
              <w:right w:val="single" w:color="000000" w:sz="4" w:space="0"/>
            </w:tcBorders>
            <w:shd w:val="clear" w:color="auto" w:fill="auto"/>
          </w:tcPr>
          <w:p w14:paraId="6D0B7CF2">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tcPr>
          <w:p w14:paraId="7EEF080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628" w:type="dxa"/>
            <w:tcBorders>
              <w:top w:val="single" w:color="000000" w:sz="4" w:space="0"/>
              <w:left w:val="single" w:color="000000" w:sz="4" w:space="0"/>
              <w:bottom w:val="single" w:color="000000" w:sz="4" w:space="0"/>
              <w:right w:val="single" w:color="000000" w:sz="4" w:space="0"/>
            </w:tcBorders>
          </w:tcPr>
          <w:p w14:paraId="33CE1D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0" w:type="dxa"/>
            <w:tcBorders>
              <w:top w:val="single" w:color="000000" w:sz="4" w:space="0"/>
              <w:left w:val="single" w:color="000000" w:sz="4" w:space="0"/>
              <w:bottom w:val="single" w:color="000000" w:sz="4" w:space="0"/>
              <w:right w:val="single" w:color="000000" w:sz="4" w:space="0"/>
            </w:tcBorders>
          </w:tcPr>
          <w:p w14:paraId="1FDF13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79" w:type="dxa"/>
            <w:tcBorders>
              <w:top w:val="single" w:color="000000" w:sz="4" w:space="0"/>
              <w:left w:val="single" w:color="000000" w:sz="4" w:space="0"/>
              <w:bottom w:val="single" w:color="000000" w:sz="4" w:space="0"/>
              <w:right w:val="single" w:color="000000" w:sz="4" w:space="0"/>
            </w:tcBorders>
          </w:tcPr>
          <w:p w14:paraId="67421A92">
            <w:pPr>
              <w:spacing w:after="0" w:line="240" w:lineRule="auto"/>
              <w:ind w:left="0" w:leftChars="0" w:firstLine="0" w:firstLineChars="0"/>
              <w:jc w:val="both"/>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w:t>
            </w:r>
          </w:p>
        </w:tc>
        <w:tc>
          <w:tcPr>
            <w:tcW w:w="1271" w:type="dxa"/>
            <w:tcBorders>
              <w:top w:val="single" w:color="000000" w:sz="4" w:space="0"/>
              <w:left w:val="single" w:color="000000" w:sz="4" w:space="0"/>
              <w:bottom w:val="single" w:color="000000" w:sz="4" w:space="0"/>
              <w:right w:val="single" w:color="000000" w:sz="4" w:space="0"/>
            </w:tcBorders>
          </w:tcPr>
          <w:p w14:paraId="75F623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B733EC3">
      <w:pPr>
        <w:spacing w:line="276" w:lineRule="auto"/>
        <w:rPr>
          <w:rFonts w:hint="default" w:ascii="Arial" w:hAnsi="Arial" w:cs="Arial"/>
          <w:sz w:val="17"/>
          <w:szCs w:val="17"/>
        </w:rPr>
      </w:pPr>
    </w:p>
    <w:p w14:paraId="7BB906E3">
      <w:pPr>
        <w:pStyle w:val="221"/>
        <w:numPr>
          <w:ilvl w:val="0"/>
          <w:numId w:val="0"/>
        </w:numPr>
        <w:ind w:leftChars="0"/>
        <w:jc w:val="both"/>
        <w:rPr>
          <w:rFonts w:hint="default" w:ascii="Arial" w:hAnsi="Arial" w:cs="Arial"/>
          <w:sz w:val="17"/>
          <w:szCs w:val="17"/>
        </w:rPr>
      </w:pPr>
    </w:p>
    <w:p w14:paraId="0A6951A5">
      <w:pPr>
        <w:pStyle w:val="221"/>
        <w:numPr>
          <w:ilvl w:val="1"/>
          <w:numId w:val="18"/>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w:t>
      </w:r>
    </w:p>
    <w:p w14:paraId="602A803E">
      <w:pPr>
        <w:pStyle w:val="221"/>
        <w:numPr>
          <w:ilvl w:val="0"/>
          <w:numId w:val="0"/>
        </w:numPr>
        <w:ind w:leftChars="0"/>
        <w:jc w:val="both"/>
        <w:rPr>
          <w:rFonts w:hint="default" w:ascii="Arial" w:hAnsi="Arial" w:cs="Arial"/>
          <w:sz w:val="17"/>
          <w:szCs w:val="17"/>
        </w:rPr>
      </w:pPr>
    </w:p>
    <w:tbl>
      <w:tblPr>
        <w:tblStyle w:val="342"/>
        <w:tblW w:w="97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0" w:type="dxa"/>
          <w:left w:w="100" w:type="dxa"/>
          <w:bottom w:w="100" w:type="dxa"/>
          <w:right w:w="100" w:type="dxa"/>
        </w:tblCellMar>
      </w:tblPr>
      <w:tblGrid>
        <w:gridCol w:w="810"/>
        <w:gridCol w:w="6632"/>
        <w:gridCol w:w="969"/>
        <w:gridCol w:w="1303"/>
      </w:tblGrid>
      <w:tr w14:paraId="045F9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343" w:hRule="atLeast"/>
        </w:trPr>
        <w:tc>
          <w:tcPr>
            <w:tcW w:w="9714" w:type="dxa"/>
            <w:gridSpan w:val="4"/>
            <w:tcMar>
              <w:top w:w="40" w:type="dxa"/>
              <w:left w:w="40" w:type="dxa"/>
              <w:bottom w:w="40" w:type="dxa"/>
              <w:right w:w="40" w:type="dxa"/>
            </w:tcMar>
            <w:vAlign w:val="center"/>
          </w:tcPr>
          <w:p w14:paraId="116077C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b/>
                <w:sz w:val="17"/>
                <w:szCs w:val="17"/>
                <w:lang w:val="pt-BR"/>
              </w:rPr>
            </w:pPr>
            <w:r>
              <w:rPr>
                <w:rFonts w:hint="default" w:ascii="Arial" w:hAnsi="Arial" w:cs="Arial"/>
                <w:b/>
                <w:sz w:val="17"/>
                <w:szCs w:val="17"/>
                <w:lang w:val="pt-BR"/>
              </w:rPr>
              <w:t>LOTE 1</w:t>
            </w:r>
          </w:p>
        </w:tc>
      </w:tr>
      <w:tr w14:paraId="3D83A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343" w:hRule="atLeast"/>
        </w:trPr>
        <w:tc>
          <w:tcPr>
            <w:tcW w:w="810" w:type="dxa"/>
            <w:tcMar>
              <w:top w:w="40" w:type="dxa"/>
              <w:left w:w="40" w:type="dxa"/>
              <w:bottom w:w="40" w:type="dxa"/>
              <w:right w:w="40" w:type="dxa"/>
            </w:tcMar>
            <w:vAlign w:val="center"/>
          </w:tcPr>
          <w:p w14:paraId="3C35A1B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b/>
                <w:sz w:val="17"/>
                <w:szCs w:val="17"/>
              </w:rPr>
              <w:t>ITEM</w:t>
            </w:r>
          </w:p>
        </w:tc>
        <w:tc>
          <w:tcPr>
            <w:tcW w:w="6632" w:type="dxa"/>
            <w:tcMar>
              <w:top w:w="40" w:type="dxa"/>
              <w:left w:w="40" w:type="dxa"/>
              <w:bottom w:w="40" w:type="dxa"/>
              <w:right w:w="40" w:type="dxa"/>
            </w:tcMar>
            <w:vAlign w:val="center"/>
          </w:tcPr>
          <w:p w14:paraId="4E483DA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b/>
                <w:sz w:val="17"/>
                <w:szCs w:val="17"/>
              </w:rPr>
              <w:t>DESCRIÇÃO DOS SERVIÇOS</w:t>
            </w:r>
          </w:p>
        </w:tc>
        <w:tc>
          <w:tcPr>
            <w:tcW w:w="969" w:type="dxa"/>
            <w:tcMar>
              <w:top w:w="40" w:type="dxa"/>
              <w:left w:w="40" w:type="dxa"/>
              <w:bottom w:w="40" w:type="dxa"/>
              <w:right w:w="40" w:type="dxa"/>
            </w:tcMar>
            <w:vAlign w:val="center"/>
          </w:tcPr>
          <w:p w14:paraId="5067E6F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b/>
                <w:sz w:val="17"/>
                <w:szCs w:val="17"/>
              </w:rPr>
              <w:t>UNID.</w:t>
            </w:r>
          </w:p>
        </w:tc>
        <w:tc>
          <w:tcPr>
            <w:tcW w:w="1303" w:type="dxa"/>
            <w:tcMar>
              <w:top w:w="40" w:type="dxa"/>
              <w:left w:w="40" w:type="dxa"/>
              <w:bottom w:w="40" w:type="dxa"/>
              <w:right w:w="40" w:type="dxa"/>
            </w:tcMar>
            <w:vAlign w:val="center"/>
          </w:tcPr>
          <w:p w14:paraId="7ED97C8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b/>
                <w:sz w:val="17"/>
                <w:szCs w:val="17"/>
              </w:rPr>
              <w:t>QTD. MÍNIMA</w:t>
            </w:r>
          </w:p>
        </w:tc>
      </w:tr>
      <w:tr w14:paraId="5DA5C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224" w:hRule="atLeast"/>
        </w:trPr>
        <w:tc>
          <w:tcPr>
            <w:tcW w:w="810" w:type="dxa"/>
            <w:tcMar>
              <w:top w:w="40" w:type="dxa"/>
              <w:left w:w="40" w:type="dxa"/>
              <w:bottom w:w="40" w:type="dxa"/>
              <w:right w:w="40" w:type="dxa"/>
            </w:tcMar>
            <w:vAlign w:val="center"/>
          </w:tcPr>
          <w:p w14:paraId="546802F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b/>
                <w:sz w:val="17"/>
                <w:szCs w:val="17"/>
              </w:rPr>
              <w:t>1</w:t>
            </w:r>
          </w:p>
        </w:tc>
        <w:tc>
          <w:tcPr>
            <w:tcW w:w="6632" w:type="dxa"/>
            <w:tcMar>
              <w:top w:w="40" w:type="dxa"/>
              <w:left w:w="40" w:type="dxa"/>
              <w:bottom w:w="40" w:type="dxa"/>
              <w:right w:w="40" w:type="dxa"/>
            </w:tcMar>
            <w:vAlign w:val="center"/>
          </w:tcPr>
          <w:p w14:paraId="12C0FA22">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7"/>
                <w:szCs w:val="17"/>
                <w:lang w:val="pt-BR"/>
              </w:rPr>
            </w:pPr>
            <w:r>
              <w:rPr>
                <w:rFonts w:hint="default" w:ascii="Arial" w:hAnsi="Arial" w:cs="Arial"/>
                <w:sz w:val="17"/>
                <w:szCs w:val="17"/>
                <w:lang w:val="pt-BR"/>
              </w:rPr>
              <w:t>LOCAÇÃO - GRUPO DE GERADOR DE ENERGIA 180 KVA’S (STAND BY)</w:t>
            </w:r>
          </w:p>
        </w:tc>
        <w:tc>
          <w:tcPr>
            <w:tcW w:w="969" w:type="dxa"/>
            <w:tcMar>
              <w:top w:w="40" w:type="dxa"/>
              <w:left w:w="40" w:type="dxa"/>
              <w:bottom w:w="40" w:type="dxa"/>
              <w:right w:w="40" w:type="dxa"/>
            </w:tcMar>
            <w:vAlign w:val="center"/>
          </w:tcPr>
          <w:p w14:paraId="150FAA1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sz w:val="17"/>
                <w:szCs w:val="17"/>
              </w:rPr>
              <w:t>Diária</w:t>
            </w:r>
          </w:p>
        </w:tc>
        <w:tc>
          <w:tcPr>
            <w:tcW w:w="1303" w:type="dxa"/>
            <w:tcMar>
              <w:top w:w="40" w:type="dxa"/>
              <w:left w:w="40" w:type="dxa"/>
              <w:bottom w:w="40" w:type="dxa"/>
              <w:right w:w="40" w:type="dxa"/>
            </w:tcMar>
            <w:vAlign w:val="center"/>
          </w:tcPr>
          <w:p w14:paraId="116BD88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lang w:val="pt-BR"/>
              </w:rPr>
            </w:pPr>
            <w:r>
              <w:rPr>
                <w:rFonts w:hint="default" w:ascii="Arial" w:hAnsi="Arial" w:eastAsia="Arial" w:cs="Arial"/>
                <w:sz w:val="17"/>
                <w:szCs w:val="17"/>
                <w:lang w:val="pt-BR"/>
              </w:rPr>
              <w:t>2</w:t>
            </w:r>
          </w:p>
        </w:tc>
      </w:tr>
      <w:tr w14:paraId="3BABC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92" w:hRule="atLeast"/>
        </w:trPr>
        <w:tc>
          <w:tcPr>
            <w:tcW w:w="810" w:type="dxa"/>
            <w:tcMar>
              <w:top w:w="40" w:type="dxa"/>
              <w:left w:w="40" w:type="dxa"/>
              <w:bottom w:w="40" w:type="dxa"/>
              <w:right w:w="40" w:type="dxa"/>
            </w:tcMar>
            <w:vAlign w:val="center"/>
          </w:tcPr>
          <w:p w14:paraId="6C4D571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b/>
                <w:sz w:val="17"/>
                <w:szCs w:val="17"/>
              </w:rPr>
              <w:t>2</w:t>
            </w:r>
          </w:p>
        </w:tc>
        <w:tc>
          <w:tcPr>
            <w:tcW w:w="6632" w:type="dxa"/>
            <w:tcMar>
              <w:top w:w="40" w:type="dxa"/>
              <w:left w:w="40" w:type="dxa"/>
              <w:bottom w:w="40" w:type="dxa"/>
              <w:right w:w="40" w:type="dxa"/>
            </w:tcMar>
            <w:vAlign w:val="bottom"/>
          </w:tcPr>
          <w:p w14:paraId="75039538">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7"/>
                <w:szCs w:val="17"/>
              </w:rPr>
            </w:pPr>
            <w:r>
              <w:rPr>
                <w:rFonts w:hint="default" w:ascii="Arial" w:hAnsi="Arial" w:cs="Arial"/>
                <w:sz w:val="17"/>
                <w:szCs w:val="17"/>
                <w:lang w:val="pt-BR"/>
              </w:rPr>
              <w:t>LOCAÇÃO - GRUPO DE GERADOR DE ENERGIA 180 KVA’S (FUNCIONANDO)</w:t>
            </w:r>
          </w:p>
        </w:tc>
        <w:tc>
          <w:tcPr>
            <w:tcW w:w="969" w:type="dxa"/>
            <w:tcMar>
              <w:top w:w="40" w:type="dxa"/>
              <w:left w:w="40" w:type="dxa"/>
              <w:bottom w:w="40" w:type="dxa"/>
              <w:right w:w="40" w:type="dxa"/>
            </w:tcMar>
            <w:vAlign w:val="center"/>
          </w:tcPr>
          <w:p w14:paraId="6935772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sz w:val="17"/>
                <w:szCs w:val="17"/>
              </w:rPr>
              <w:t>Diária</w:t>
            </w:r>
          </w:p>
        </w:tc>
        <w:tc>
          <w:tcPr>
            <w:tcW w:w="1303" w:type="dxa"/>
            <w:tcMar>
              <w:top w:w="40" w:type="dxa"/>
              <w:left w:w="40" w:type="dxa"/>
              <w:bottom w:w="40" w:type="dxa"/>
              <w:right w:w="40" w:type="dxa"/>
            </w:tcMar>
            <w:vAlign w:val="center"/>
          </w:tcPr>
          <w:p w14:paraId="78018CC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lang w:val="pt-BR"/>
              </w:rPr>
            </w:pPr>
            <w:r>
              <w:rPr>
                <w:rFonts w:hint="default" w:ascii="Arial" w:hAnsi="Arial" w:eastAsia="Arial" w:cs="Arial"/>
                <w:sz w:val="17"/>
                <w:szCs w:val="17"/>
                <w:lang w:val="pt-BR"/>
              </w:rPr>
              <w:t>2</w:t>
            </w:r>
          </w:p>
        </w:tc>
      </w:tr>
      <w:tr w14:paraId="2D776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165" w:hRule="atLeast"/>
        </w:trPr>
        <w:tc>
          <w:tcPr>
            <w:tcW w:w="810" w:type="dxa"/>
            <w:tcMar>
              <w:top w:w="40" w:type="dxa"/>
              <w:left w:w="40" w:type="dxa"/>
              <w:bottom w:w="40" w:type="dxa"/>
              <w:right w:w="40" w:type="dxa"/>
            </w:tcMar>
            <w:vAlign w:val="center"/>
          </w:tcPr>
          <w:p w14:paraId="27C39B6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b/>
                <w:sz w:val="17"/>
                <w:szCs w:val="17"/>
              </w:rPr>
              <w:t>3</w:t>
            </w:r>
          </w:p>
        </w:tc>
        <w:tc>
          <w:tcPr>
            <w:tcW w:w="6632" w:type="dxa"/>
            <w:tcMar>
              <w:top w:w="40" w:type="dxa"/>
              <w:left w:w="40" w:type="dxa"/>
              <w:bottom w:w="40" w:type="dxa"/>
              <w:right w:w="40" w:type="dxa"/>
            </w:tcMar>
            <w:vAlign w:val="bottom"/>
          </w:tcPr>
          <w:p w14:paraId="05197CBB">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7"/>
                <w:szCs w:val="17"/>
              </w:rPr>
            </w:pPr>
            <w:r>
              <w:rPr>
                <w:rFonts w:hint="default" w:ascii="Arial" w:hAnsi="Arial" w:cs="Arial"/>
                <w:sz w:val="17"/>
                <w:szCs w:val="17"/>
                <w:lang w:val="pt-BR"/>
              </w:rPr>
              <w:t>LOCAÇÃO - GRUPO DE GERADOR DE ENERGIA 260 KVA’S (STAND BY)</w:t>
            </w:r>
          </w:p>
        </w:tc>
        <w:tc>
          <w:tcPr>
            <w:tcW w:w="969" w:type="dxa"/>
            <w:tcMar>
              <w:top w:w="40" w:type="dxa"/>
              <w:left w:w="40" w:type="dxa"/>
              <w:bottom w:w="40" w:type="dxa"/>
              <w:right w:w="40" w:type="dxa"/>
            </w:tcMar>
            <w:vAlign w:val="center"/>
          </w:tcPr>
          <w:p w14:paraId="525289A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sz w:val="17"/>
                <w:szCs w:val="17"/>
              </w:rPr>
              <w:t>Diária</w:t>
            </w:r>
          </w:p>
        </w:tc>
        <w:tc>
          <w:tcPr>
            <w:tcW w:w="1303" w:type="dxa"/>
            <w:tcMar>
              <w:top w:w="40" w:type="dxa"/>
              <w:left w:w="40" w:type="dxa"/>
              <w:bottom w:w="40" w:type="dxa"/>
              <w:right w:w="40" w:type="dxa"/>
            </w:tcMar>
            <w:vAlign w:val="center"/>
          </w:tcPr>
          <w:p w14:paraId="1CD969F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lang w:val="pt-BR"/>
              </w:rPr>
            </w:pPr>
            <w:r>
              <w:rPr>
                <w:rFonts w:hint="default" w:ascii="Arial" w:hAnsi="Arial" w:eastAsia="Arial" w:cs="Arial"/>
                <w:sz w:val="17"/>
                <w:szCs w:val="17"/>
                <w:lang w:val="pt-BR"/>
              </w:rPr>
              <w:t>2</w:t>
            </w:r>
          </w:p>
        </w:tc>
      </w:tr>
      <w:tr w14:paraId="69B75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90" w:hRule="atLeast"/>
        </w:trPr>
        <w:tc>
          <w:tcPr>
            <w:tcW w:w="810" w:type="dxa"/>
            <w:tcMar>
              <w:top w:w="40" w:type="dxa"/>
              <w:left w:w="40" w:type="dxa"/>
              <w:bottom w:w="40" w:type="dxa"/>
              <w:right w:w="40" w:type="dxa"/>
            </w:tcMar>
            <w:vAlign w:val="center"/>
          </w:tcPr>
          <w:p w14:paraId="2C34951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b/>
                <w:sz w:val="17"/>
                <w:szCs w:val="17"/>
              </w:rPr>
              <w:t>4</w:t>
            </w:r>
          </w:p>
        </w:tc>
        <w:tc>
          <w:tcPr>
            <w:tcW w:w="6632" w:type="dxa"/>
            <w:tcMar>
              <w:top w:w="40" w:type="dxa"/>
              <w:left w:w="40" w:type="dxa"/>
              <w:bottom w:w="40" w:type="dxa"/>
              <w:right w:w="40" w:type="dxa"/>
            </w:tcMar>
            <w:vAlign w:val="bottom"/>
          </w:tcPr>
          <w:p w14:paraId="27AA60C7">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7"/>
                <w:szCs w:val="17"/>
              </w:rPr>
            </w:pPr>
            <w:r>
              <w:rPr>
                <w:rFonts w:hint="default" w:ascii="Arial" w:hAnsi="Arial" w:cs="Arial"/>
                <w:sz w:val="17"/>
                <w:szCs w:val="17"/>
                <w:lang w:val="pt-BR"/>
              </w:rPr>
              <w:t>LOCAÇÃO - GRUPO DE GERADOR DE ENERGIA 260 KVA’S (FUNCIONANDO)</w:t>
            </w:r>
          </w:p>
        </w:tc>
        <w:tc>
          <w:tcPr>
            <w:tcW w:w="969" w:type="dxa"/>
            <w:tcMar>
              <w:top w:w="40" w:type="dxa"/>
              <w:left w:w="40" w:type="dxa"/>
              <w:bottom w:w="40" w:type="dxa"/>
              <w:right w:w="40" w:type="dxa"/>
            </w:tcMar>
            <w:vAlign w:val="center"/>
          </w:tcPr>
          <w:p w14:paraId="4E16BC4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rPr>
            </w:pPr>
            <w:r>
              <w:rPr>
                <w:rFonts w:hint="default" w:ascii="Arial" w:hAnsi="Arial" w:eastAsia="Times New Roman" w:cs="Arial"/>
                <w:sz w:val="17"/>
                <w:szCs w:val="17"/>
              </w:rPr>
              <w:t>Diária</w:t>
            </w:r>
          </w:p>
        </w:tc>
        <w:tc>
          <w:tcPr>
            <w:tcW w:w="1303" w:type="dxa"/>
            <w:tcMar>
              <w:top w:w="40" w:type="dxa"/>
              <w:left w:w="40" w:type="dxa"/>
              <w:bottom w:w="40" w:type="dxa"/>
              <w:right w:w="40" w:type="dxa"/>
            </w:tcMar>
            <w:vAlign w:val="center"/>
          </w:tcPr>
          <w:p w14:paraId="12831F1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lang w:val="pt-BR"/>
              </w:rPr>
            </w:pPr>
            <w:r>
              <w:rPr>
                <w:rFonts w:hint="default" w:ascii="Arial" w:hAnsi="Arial" w:eastAsia="Arial" w:cs="Arial"/>
                <w:sz w:val="17"/>
                <w:szCs w:val="17"/>
                <w:lang w:val="pt-BR"/>
              </w:rPr>
              <w:t>2</w:t>
            </w:r>
          </w:p>
        </w:tc>
      </w:tr>
      <w:tr w14:paraId="313C4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90" w:hRule="atLeast"/>
        </w:trPr>
        <w:tc>
          <w:tcPr>
            <w:tcW w:w="810" w:type="dxa"/>
            <w:tcMar>
              <w:top w:w="40" w:type="dxa"/>
              <w:left w:w="40" w:type="dxa"/>
              <w:bottom w:w="40" w:type="dxa"/>
              <w:right w:w="40" w:type="dxa"/>
            </w:tcMar>
            <w:vAlign w:val="center"/>
          </w:tcPr>
          <w:p w14:paraId="467A244F">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b/>
                <w:sz w:val="17"/>
                <w:szCs w:val="17"/>
              </w:rPr>
            </w:pPr>
          </w:p>
        </w:tc>
        <w:tc>
          <w:tcPr>
            <w:tcW w:w="6632" w:type="dxa"/>
            <w:tcMar>
              <w:top w:w="40" w:type="dxa"/>
              <w:left w:w="40" w:type="dxa"/>
              <w:bottom w:w="40" w:type="dxa"/>
              <w:right w:w="40" w:type="dxa"/>
            </w:tcMar>
            <w:vAlign w:val="bottom"/>
          </w:tcPr>
          <w:p w14:paraId="1A0C87FD">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Times New Roman" w:cs="Arial"/>
                <w:sz w:val="17"/>
                <w:szCs w:val="17"/>
              </w:rPr>
            </w:pPr>
          </w:p>
        </w:tc>
        <w:tc>
          <w:tcPr>
            <w:tcW w:w="969" w:type="dxa"/>
            <w:tcMar>
              <w:top w:w="40" w:type="dxa"/>
              <w:left w:w="40" w:type="dxa"/>
              <w:bottom w:w="40" w:type="dxa"/>
              <w:right w:w="40" w:type="dxa"/>
            </w:tcMar>
            <w:vAlign w:val="center"/>
          </w:tcPr>
          <w:p w14:paraId="4B37F0D4">
            <w:pPr>
              <w:pageBreakBefore w:val="0"/>
              <w:widowControl w:val="0"/>
              <w:kinsoku/>
              <w:wordWrap/>
              <w:overflowPunct/>
              <w:topLinePunct w:val="0"/>
              <w:autoSpaceDE/>
              <w:autoSpaceDN/>
              <w:bidi w:val="0"/>
              <w:adjustRightInd/>
              <w:snapToGrid/>
              <w:spacing w:after="0" w:line="276" w:lineRule="auto"/>
              <w:ind w:left="0" w:right="0"/>
              <w:jc w:val="right"/>
              <w:textAlignment w:val="auto"/>
              <w:rPr>
                <w:rFonts w:hint="default" w:ascii="Arial" w:hAnsi="Arial" w:eastAsia="Times New Roman" w:cs="Arial"/>
                <w:sz w:val="17"/>
                <w:szCs w:val="17"/>
                <w:lang w:val="pt-BR"/>
              </w:rPr>
            </w:pPr>
            <w:r>
              <w:rPr>
                <w:rFonts w:hint="default" w:ascii="Arial" w:hAnsi="Arial" w:cs="Arial"/>
                <w:b/>
                <w:bCs/>
                <w:sz w:val="17"/>
                <w:szCs w:val="17"/>
                <w:lang w:val="pt-BR"/>
              </w:rPr>
              <w:t>TOTAL:</w:t>
            </w:r>
          </w:p>
        </w:tc>
        <w:tc>
          <w:tcPr>
            <w:tcW w:w="1303" w:type="dxa"/>
            <w:tcMar>
              <w:top w:w="40" w:type="dxa"/>
              <w:left w:w="40" w:type="dxa"/>
              <w:bottom w:w="40" w:type="dxa"/>
              <w:right w:w="40" w:type="dxa"/>
            </w:tcMar>
            <w:vAlign w:val="center"/>
          </w:tcPr>
          <w:p w14:paraId="4340298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7"/>
                <w:szCs w:val="17"/>
                <w:lang w:val="pt-BR"/>
              </w:rPr>
            </w:pPr>
            <w:r>
              <w:rPr>
                <w:rFonts w:hint="default" w:ascii="Arial" w:hAnsi="Arial" w:eastAsia="Arial" w:cs="Arial"/>
                <w:b/>
                <w:bCs/>
                <w:sz w:val="17"/>
                <w:szCs w:val="17"/>
                <w:lang w:val="pt-BR"/>
              </w:rPr>
              <w:t>8 diárias</w:t>
            </w:r>
          </w:p>
        </w:tc>
      </w:tr>
    </w:tbl>
    <w:p w14:paraId="09C17E03">
      <w:pPr>
        <w:pStyle w:val="221"/>
        <w:numPr>
          <w:ilvl w:val="0"/>
          <w:numId w:val="0"/>
        </w:numPr>
        <w:ind w:leftChars="0"/>
        <w:jc w:val="both"/>
        <w:rPr>
          <w:rFonts w:hint="default" w:ascii="Arial" w:hAnsi="Arial" w:cs="Arial"/>
          <w:sz w:val="17"/>
          <w:szCs w:val="17"/>
        </w:rPr>
      </w:pPr>
    </w:p>
    <w:p w14:paraId="6C29A58E">
      <w:pPr>
        <w:pStyle w:val="221"/>
        <w:numPr>
          <w:ilvl w:val="0"/>
          <w:numId w:val="0"/>
        </w:numPr>
        <w:ind w:leftChars="0"/>
        <w:jc w:val="both"/>
        <w:rPr>
          <w:rFonts w:hint="default" w:ascii="Arial" w:hAnsi="Arial" w:cs="Arial"/>
          <w:sz w:val="17"/>
          <w:szCs w:val="17"/>
        </w:rPr>
      </w:pPr>
    </w:p>
    <w:p w14:paraId="52422AD2">
      <w:pPr>
        <w:pStyle w:val="221"/>
        <w:numPr>
          <w:ilvl w:val="0"/>
          <w:numId w:val="0"/>
        </w:numPr>
        <w:ind w:leftChars="0"/>
        <w:jc w:val="both"/>
        <w:rPr>
          <w:rFonts w:hint="default" w:ascii="Arial" w:hAnsi="Arial" w:cs="Arial"/>
          <w:sz w:val="17"/>
          <w:szCs w:val="17"/>
        </w:rPr>
      </w:pPr>
    </w:p>
    <w:p w14:paraId="0A83F606">
      <w:pPr>
        <w:pStyle w:val="221"/>
        <w:numPr>
          <w:ilvl w:val="0"/>
          <w:numId w:val="0"/>
        </w:numPr>
        <w:ind w:leftChars="0"/>
        <w:jc w:val="both"/>
        <w:rPr>
          <w:rFonts w:hint="default" w:ascii="Arial" w:hAnsi="Arial" w:cs="Arial"/>
          <w:sz w:val="17"/>
          <w:szCs w:val="17"/>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CONDIÇÕES </w:t>
      </w:r>
      <w:r>
        <w:rPr>
          <w:rFonts w:hint="default" w:ascii="Arial" w:hAnsi="Arial" w:cs="Arial"/>
          <w:b/>
          <w:bCs/>
          <w:sz w:val="17"/>
          <w:szCs w:val="17"/>
          <w:lang w:val="pt-BR"/>
        </w:rPr>
        <w:t>DE CONTRATAÇÃO</w:t>
      </w:r>
    </w:p>
    <w:p w14:paraId="3D6CB89A">
      <w:pPr>
        <w:pageBreakBefore w:val="0"/>
        <w:numPr>
          <w:ilvl w:val="0"/>
          <w:numId w:val="19"/>
        </w:numPr>
        <w:tabs>
          <w:tab w:val="left" w:pos="240"/>
          <w:tab w:val="left" w:pos="480"/>
          <w:tab w:val="clear" w:pos="425"/>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sz w:val="17"/>
          <w:szCs w:val="17"/>
        </w:rPr>
      </w:pPr>
      <w:r>
        <w:rPr>
          <w:rFonts w:hint="default" w:ascii="Arial" w:hAnsi="Arial" w:eastAsia="Times New Roman" w:cs="Arial"/>
          <w:sz w:val="17"/>
          <w:szCs w:val="17"/>
          <w:rtl w:val="0"/>
        </w:rPr>
        <w:t xml:space="preserve">A prestação dos serviços contratados será conforme solicitação da Secretaria requisitante com antecedência de 07 (sete) dias, em locais a serem definidos e informados previamente pela administração e mantendo os seguintes critérios: </w:t>
      </w:r>
    </w:p>
    <w:p w14:paraId="0B6628A9">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a)  Os geradores devem ter potência e capacidades adequadas para atender à demanda máxima prevista durante o evento, considerando os picos de consumo e variações ao longo da programação;</w:t>
      </w:r>
    </w:p>
    <w:p w14:paraId="29356B53">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 xml:space="preserve">b) Nos preços das locações deverão estar inclusas todas as despesas, incluindo transportes, carga e descarga, montagem e desmontagem, impostos/taxas e outras despesas. </w:t>
      </w:r>
    </w:p>
    <w:p w14:paraId="597ED70A">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c) É de inteira responsabilidade o transporte de todo o equipamento até o local determinado e consequente retirada dos mesmos;</w:t>
      </w:r>
    </w:p>
    <w:p w14:paraId="75120384">
      <w:pPr>
        <w:pageBreakBefore w:val="0"/>
        <w:kinsoku/>
        <w:wordWrap/>
        <w:overflowPunct/>
        <w:topLinePunct w:val="0"/>
        <w:autoSpaceDE/>
        <w:autoSpaceDN/>
        <w:bidi w:val="0"/>
        <w:adjustRightInd/>
        <w:snapToGrid/>
        <w:spacing w:after="0"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sz w:val="17"/>
          <w:szCs w:val="17"/>
          <w:rtl w:val="0"/>
        </w:rPr>
        <w:t>d) Priorizar geradores que apresentem eficiência energética, garantindo o uso otimizado de combustível e minimizando impactos ambientais;</w:t>
      </w:r>
    </w:p>
    <w:p w14:paraId="00F49159">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ascii="Arial" w:hAnsi="Arial" w:cs="Arial"/>
          <w:b/>
          <w:bCs/>
          <w:color w:val="auto"/>
          <w:sz w:val="17"/>
          <w:szCs w:val="17"/>
          <w:lang w:val="pt-BR"/>
        </w:rPr>
        <w:t>054/2024</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0"/>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14EA083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 </w:t>
      </w:r>
      <w:r>
        <w:rPr>
          <w:rFonts w:hint="default" w:ascii="Arial" w:hAnsi="Arial" w:eastAsia="Times New Roman" w:cs="Arial"/>
          <w:b/>
          <w:sz w:val="17"/>
          <w:szCs w:val="17"/>
          <w:rtl w:val="0"/>
        </w:rPr>
        <w:tab/>
      </w:r>
      <w:r>
        <w:rPr>
          <w:rFonts w:hint="default" w:ascii="Arial" w:hAnsi="Arial" w:eastAsia="Times New Roman" w:cs="Arial"/>
          <w:sz w:val="17"/>
          <w:szCs w:val="17"/>
          <w:rtl w:val="0"/>
        </w:rPr>
        <w:t xml:space="preserve">A CONTRATADA deverá arcar com todas as despesas, diretas e indiretas, decorrentes do cumprimento das obrigações assumidas, sem qualquer ônus à CONTRATANTE; </w:t>
      </w:r>
    </w:p>
    <w:p w14:paraId="5CB9EF4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5.1.2.</w:t>
      </w:r>
      <w:r>
        <w:rPr>
          <w:rFonts w:hint="default" w:ascii="Arial" w:hAnsi="Arial" w:eastAsia="Times New Roman" w:cs="Arial"/>
          <w:sz w:val="17"/>
          <w:szCs w:val="17"/>
          <w:rtl w:val="0"/>
        </w:rPr>
        <w:t xml:space="preserve"> A CONTRATADA será responsável pela observância de toda legislação pertinente direta ou indiretamente aplicável ao objeto deste termo de referência.</w:t>
      </w:r>
    </w:p>
    <w:p w14:paraId="0AB5374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5.1.3.</w:t>
      </w:r>
      <w:r>
        <w:rPr>
          <w:rFonts w:hint="default" w:ascii="Arial" w:hAnsi="Arial" w:eastAsia="Times New Roman" w:cs="Arial"/>
          <w:sz w:val="17"/>
          <w:szCs w:val="17"/>
          <w:rtl w:val="0"/>
        </w:rPr>
        <w:t xml:space="preserve"> A CONTRATADA será a única responsável por danos e prejuízos, de qualquer natureza, causada a CONTRATANTE ou a terceiros, decorrentes da execução do objeto deste Termo de Referência, isentando a CONTRATANTE de todas as reclamações que porventura possam surgir, ainda que tais reclamações sejam resultantes de atos dos seus prepostos ou de quaisquer pessoas físicas ou jurídicas, empregadas ou ajustadas na execução do objeto;</w:t>
      </w:r>
    </w:p>
    <w:p w14:paraId="49519F0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5.1.4. </w:t>
      </w:r>
      <w:r>
        <w:rPr>
          <w:rFonts w:hint="default" w:ascii="Arial" w:hAnsi="Arial" w:eastAsia="Times New Roman" w:cs="Arial"/>
          <w:sz w:val="17"/>
          <w:szCs w:val="17"/>
          <w:rtl w:val="0"/>
        </w:rPr>
        <w:t>A aceitação do objeto somente será efetivada após ter sido o mesmo considerado satisfatório pela fiscalização do(s) contrato(s), ficando a empresa fornecedora obrigada a substituí-lo, em parte ou integralmente, em tempo hábil, sempre que ocorrerem falhas.</w:t>
      </w:r>
    </w:p>
    <w:p w14:paraId="5FE34F2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5.1.5. </w:t>
      </w:r>
      <w:r>
        <w:rPr>
          <w:rFonts w:hint="default" w:ascii="Arial" w:hAnsi="Arial" w:eastAsia="Times New Roman" w:cs="Arial"/>
          <w:sz w:val="17"/>
          <w:szCs w:val="17"/>
          <w:rtl w:val="0"/>
        </w:rPr>
        <w:t>A CONTRATADA se responsabiliza por todas as despesas decorrentes do objeto deste Termo de Referência, tais como salários, encargos sociais, previdenciários, trabalhistas, comerciais, seguros de acidentes, tributos, indenizações, vale-transporte, vale-refeição e outros de seus funcionários e técnicos.</w:t>
      </w:r>
    </w:p>
    <w:p w14:paraId="581D2F3B">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5.1.6.</w:t>
      </w:r>
      <w:r>
        <w:rPr>
          <w:rFonts w:hint="default" w:ascii="Arial" w:hAnsi="Arial" w:eastAsia="Times New Roman" w:cs="Arial"/>
          <w:sz w:val="17"/>
          <w:szCs w:val="17"/>
          <w:rtl w:val="0"/>
        </w:rPr>
        <w:t xml:space="preserve"> </w:t>
      </w:r>
      <w:r>
        <w:rPr>
          <w:rFonts w:hint="default" w:ascii="Arial" w:hAnsi="Arial" w:eastAsia="Times New Roman" w:cs="Arial"/>
          <w:sz w:val="17"/>
          <w:szCs w:val="17"/>
          <w:rtl w:val="0"/>
        </w:rPr>
        <w:tab/>
      </w:r>
      <w:r>
        <w:rPr>
          <w:rFonts w:hint="default" w:ascii="Arial" w:hAnsi="Arial" w:eastAsia="Times New Roman" w:cs="Arial"/>
          <w:sz w:val="17"/>
          <w:szCs w:val="17"/>
          <w:rtl w:val="0"/>
        </w:rPr>
        <w:t>A CONTRATADA se responsabilizará pela montagem e desmontagem dos geradores que devem ter potência e capacidades adequadas para atender à demanda máxima prevista durante o evento, considerando os picos de consumo e variações ao longo da programação</w:t>
      </w:r>
    </w:p>
    <w:p w14:paraId="48E5DA1B">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5.1.7. </w:t>
      </w:r>
      <w:r>
        <w:rPr>
          <w:rFonts w:hint="default" w:ascii="Arial" w:hAnsi="Arial" w:eastAsia="Times New Roman" w:cs="Arial"/>
          <w:sz w:val="17"/>
          <w:szCs w:val="17"/>
          <w:rtl w:val="0"/>
        </w:rPr>
        <w:t>Os equipamentos deverão aptos para a operação 12 (doze) horas antes do início programado para o evento, ou em horário determinado pela Secretaria de Cultura e Turismo de Cataguases;</w:t>
      </w:r>
    </w:p>
    <w:p w14:paraId="4D74AA7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5.1.8. </w:t>
      </w:r>
      <w:r>
        <w:rPr>
          <w:rFonts w:hint="default" w:ascii="Arial" w:hAnsi="Arial" w:eastAsia="Times New Roman" w:cs="Arial"/>
          <w:sz w:val="17"/>
          <w:szCs w:val="17"/>
          <w:rtl w:val="0"/>
        </w:rPr>
        <w:t>A CONTRATADA deverá emitir todas as ARTs (Anotação de Responsabilidade Técnica) necessárias e de sua competência;</w:t>
      </w:r>
    </w:p>
    <w:p w14:paraId="31B2964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5.1.9. </w:t>
      </w:r>
      <w:r>
        <w:rPr>
          <w:rFonts w:hint="default" w:ascii="Arial" w:hAnsi="Arial" w:eastAsia="Times New Roman" w:cs="Arial"/>
          <w:sz w:val="17"/>
          <w:szCs w:val="17"/>
          <w:rtl w:val="0"/>
        </w:rPr>
        <w:t xml:space="preserve">A empresa é responsável pela substituição imediata de todos os equipamentos e estruturas danificadas durante o evento; </w:t>
      </w:r>
    </w:p>
    <w:p w14:paraId="06A462C2">
      <w:pPr>
        <w:keepNext w:val="0"/>
        <w:keepLines w:val="0"/>
        <w:pageBreakBefore w:val="0"/>
        <w:widowControl/>
        <w:tabs>
          <w:tab w:val="left" w:pos="426"/>
        </w:tabs>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5.1.10.</w:t>
      </w:r>
      <w:r>
        <w:rPr>
          <w:rFonts w:hint="default" w:ascii="Arial" w:hAnsi="Arial" w:eastAsia="Times New Roman" w:cs="Arial"/>
          <w:sz w:val="17"/>
          <w:szCs w:val="17"/>
          <w:rtl w:val="0"/>
        </w:rPr>
        <w:t xml:space="preserve"> A CONTRATADA deverá responder por quaisquer danos causados diretamente ao Poder Executivo Municipal ou a terceiros, quando estes tenham sido ocasionados por seus profissionais credenciados para a execução do serviço.</w:t>
      </w:r>
    </w:p>
    <w:p w14:paraId="581109A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5.1.11. </w:t>
      </w:r>
      <w:r>
        <w:rPr>
          <w:rFonts w:hint="default" w:ascii="Arial" w:hAnsi="Arial" w:eastAsia="Times New Roman" w:cs="Arial"/>
          <w:sz w:val="17"/>
          <w:szCs w:val="17"/>
          <w:rtl w:val="0"/>
        </w:rPr>
        <w:t>A CONTRATADA deverá submeter-se à fiscalização da contratante, através do setor competente, para verificação da qualidade no serviço prestado, orientando, fiscalizando e intervindo ao seu exclusivo interesse, com a finalidade de garantir o exato cumprimento das condições pactuadas;</w:t>
      </w:r>
    </w:p>
    <w:p w14:paraId="14C4101A">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5.1.12.  </w:t>
      </w:r>
      <w:r>
        <w:rPr>
          <w:rFonts w:hint="default" w:ascii="Arial" w:hAnsi="Arial" w:eastAsia="Times New Roman" w:cs="Arial"/>
          <w:sz w:val="17"/>
          <w:szCs w:val="17"/>
          <w:rtl w:val="0"/>
        </w:rPr>
        <w:t>A CONTRATADA deverá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2046E6B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5.1.13.</w:t>
      </w:r>
      <w:r>
        <w:rPr>
          <w:rFonts w:hint="default" w:ascii="Arial" w:hAnsi="Arial" w:eastAsia="Times New Roman" w:cs="Arial"/>
          <w:sz w:val="17"/>
          <w:szCs w:val="17"/>
          <w:rtl w:val="0"/>
        </w:rPr>
        <w:t xml:space="preserve"> A CONTRATADA deverá inserir nas observações da Nota Fiscal para pagamento dos serviços prestados o número da Autorização de Fornecimento referente ao serviço.</w:t>
      </w:r>
    </w:p>
    <w:p w14:paraId="5A306C2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5.1.14. </w:t>
      </w:r>
      <w:r>
        <w:rPr>
          <w:rFonts w:hint="default" w:ascii="Arial" w:hAnsi="Arial" w:eastAsia="Times New Roman" w:cs="Arial"/>
          <w:sz w:val="17"/>
          <w:szCs w:val="17"/>
          <w:rtl w:val="0"/>
        </w:rPr>
        <w:t>A CONTRATADA é responsável pela alimentação e acomodação de todos os seus funcionários diretos e indiretos, devendo zelar pela limpeza dos locais de consumo de refeições, inclusive fornecimento de água para os mesmos;</w:t>
      </w:r>
    </w:p>
    <w:p w14:paraId="78A797AD">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5.1.15. </w:t>
      </w:r>
      <w:r>
        <w:rPr>
          <w:rFonts w:hint="default" w:ascii="Arial" w:hAnsi="Arial" w:eastAsia="Times New Roman" w:cs="Arial"/>
          <w:sz w:val="17"/>
          <w:szCs w:val="17"/>
          <w:rtl w:val="0"/>
        </w:rPr>
        <w:t>A CONTRATADA deverá ter disponibilidade para atender a eventos programados e demandas emergenciais, considerando emergencial solicitação em até 24 (vinte quatro) horas de antecedencia.</w:t>
      </w:r>
    </w:p>
    <w:p w14:paraId="0870BA1D">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 xml:space="preserve">5.1.16. </w:t>
      </w:r>
      <w:r>
        <w:rPr>
          <w:rFonts w:hint="default" w:ascii="Arial" w:hAnsi="Arial" w:eastAsia="Times New Roman" w:cs="Arial"/>
          <w:sz w:val="17"/>
          <w:szCs w:val="17"/>
          <w:rtl w:val="0"/>
        </w:rPr>
        <w:t>Após a prestação dos serviços, a CONTRATADA enviará à CONTRATANTE a nota fiscal correspondente ao volume de serviços prestados para conferência e aprovação, através do servidor responsável legalmente constituído para esse fim.</w:t>
      </w:r>
    </w:p>
    <w:p w14:paraId="33299CB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5.1.17.</w:t>
      </w:r>
      <w:r>
        <w:rPr>
          <w:rFonts w:hint="default" w:ascii="Arial" w:hAnsi="Arial" w:eastAsia="Times New Roman" w:cs="Arial"/>
          <w:sz w:val="17"/>
          <w:szCs w:val="17"/>
          <w:rtl w:val="0"/>
        </w:rPr>
        <w:t xml:space="preserve"> Disponibilidade de equipamentos e tecnologias adequadas à realização dos eventos;</w:t>
      </w:r>
    </w:p>
    <w:p w14:paraId="30BEE68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7"/>
          <w:szCs w:val="17"/>
        </w:rPr>
      </w:pPr>
      <w:r>
        <w:rPr>
          <w:rFonts w:hint="default" w:ascii="Arial" w:hAnsi="Arial" w:eastAsia="Times New Roman" w:cs="Arial"/>
          <w:b/>
          <w:sz w:val="17"/>
          <w:szCs w:val="17"/>
          <w:rtl w:val="0"/>
        </w:rPr>
        <w:t>5.1.18.</w:t>
      </w:r>
      <w:r>
        <w:rPr>
          <w:rFonts w:hint="default" w:ascii="Arial" w:hAnsi="Arial" w:eastAsia="Times New Roman" w:cs="Arial"/>
          <w:sz w:val="17"/>
          <w:szCs w:val="17"/>
          <w:rtl w:val="0"/>
        </w:rPr>
        <w:t xml:space="preserve"> Deverão ser seguidos todos os padrões técnicos necessários à execução dos serviços, atendendo as Normas da ABNT (Associação Brasileira de Normas Técnicas), bem como serem obedecidas às Normas de Segurança no Trabalho principalmente aos equipamentos de proteção individual de seus funcionários; </w:t>
      </w:r>
    </w:p>
    <w:p w14:paraId="3F17190D">
      <w:pPr>
        <w:pStyle w:val="221"/>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jc w:val="both"/>
        <w:textAlignment w:val="auto"/>
        <w:rPr>
          <w:rFonts w:hint="default" w:ascii="Arial" w:hAnsi="Arial" w:cs="Arial"/>
          <w:b/>
          <w:bCs/>
          <w:sz w:val="17"/>
          <w:szCs w:val="17"/>
        </w:rPr>
      </w:pPr>
    </w:p>
    <w:p w14:paraId="292907C6">
      <w:pPr>
        <w:pStyle w:val="221"/>
        <w:numPr>
          <w:ilvl w:val="1"/>
          <w:numId w:val="21"/>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E284009">
      <w:pPr>
        <w:pBdr>
          <w:top w:val="none" w:color="auto" w:sz="0" w:space="0"/>
          <w:left w:val="none" w:color="auto" w:sz="0" w:space="0"/>
          <w:bottom w:val="none" w:color="auto" w:sz="0" w:space="0"/>
          <w:right w:val="none" w:color="auto" w:sz="0" w:space="0"/>
          <w:between w:val="none" w:color="auto" w:sz="0" w:space="0"/>
        </w:pBdr>
        <w:spacing w:line="276" w:lineRule="auto"/>
        <w:ind w:right="-143"/>
        <w:jc w:val="both"/>
        <w:rPr>
          <w:rFonts w:hint="default" w:ascii="Arial" w:hAnsi="Arial" w:eastAsia="Times New Roman" w:cs="Arial"/>
          <w:sz w:val="17"/>
          <w:szCs w:val="17"/>
        </w:rPr>
      </w:pPr>
      <w:r>
        <w:rPr>
          <w:rFonts w:hint="default" w:ascii="Arial" w:hAnsi="Arial" w:eastAsia="Times New Roman" w:cs="Arial"/>
          <w:b/>
          <w:sz w:val="17"/>
          <w:szCs w:val="17"/>
          <w:rtl w:val="0"/>
        </w:rPr>
        <w:t>5</w:t>
      </w:r>
      <w:r>
        <w:rPr>
          <w:rFonts w:hint="default" w:ascii="Arial" w:hAnsi="Arial" w:eastAsia="Times New Roman" w:cs="Arial"/>
          <w:b/>
          <w:color w:val="000000"/>
          <w:sz w:val="17"/>
          <w:szCs w:val="17"/>
          <w:rtl w:val="0"/>
        </w:rPr>
        <w:t>.2.1.</w:t>
      </w:r>
      <w:r>
        <w:rPr>
          <w:rFonts w:hint="default" w:ascii="Arial" w:hAnsi="Arial" w:eastAsia="Times New Roman" w:cs="Arial"/>
          <w:sz w:val="17"/>
          <w:szCs w:val="17"/>
          <w:rtl w:val="0"/>
        </w:rPr>
        <w:t xml:space="preserve"> </w:t>
      </w:r>
      <w:r>
        <w:rPr>
          <w:rFonts w:hint="default" w:ascii="Arial" w:hAnsi="Arial" w:eastAsia="Times New Roman" w:cs="Arial"/>
          <w:color w:val="000000"/>
          <w:sz w:val="17"/>
          <w:szCs w:val="17"/>
          <w:rtl w:val="0"/>
        </w:rPr>
        <w:t>Realizar a fiscalização de toda a execução do contrato, para que sejam cumpridas todas as condições estabelecidas nele, de modo a assegurar os melhores resultados para a Administração.</w:t>
      </w:r>
    </w:p>
    <w:p w14:paraId="694C32A5">
      <w:pPr>
        <w:pBdr>
          <w:top w:val="none" w:color="auto" w:sz="0" w:space="0"/>
          <w:left w:val="none" w:color="auto" w:sz="0" w:space="0"/>
          <w:bottom w:val="none" w:color="auto" w:sz="0" w:space="0"/>
          <w:right w:val="none" w:color="auto" w:sz="0" w:space="0"/>
          <w:between w:val="none" w:color="auto" w:sz="0" w:space="0"/>
        </w:pBdr>
        <w:spacing w:line="276" w:lineRule="auto"/>
        <w:ind w:right="-143"/>
        <w:jc w:val="both"/>
        <w:rPr>
          <w:rFonts w:hint="default" w:ascii="Arial" w:hAnsi="Arial" w:eastAsia="Times New Roman" w:cs="Arial"/>
          <w:color w:val="000000"/>
          <w:sz w:val="17"/>
          <w:szCs w:val="17"/>
        </w:rPr>
      </w:pPr>
      <w:r>
        <w:rPr>
          <w:rFonts w:hint="default" w:ascii="Arial" w:hAnsi="Arial" w:eastAsia="Times New Roman" w:cs="Arial"/>
          <w:b/>
          <w:sz w:val="17"/>
          <w:szCs w:val="17"/>
          <w:rtl w:val="0"/>
        </w:rPr>
        <w:t>5</w:t>
      </w:r>
      <w:r>
        <w:rPr>
          <w:rFonts w:hint="default" w:ascii="Arial" w:hAnsi="Arial" w:eastAsia="Times New Roman" w:cs="Arial"/>
          <w:b/>
          <w:color w:val="000000"/>
          <w:sz w:val="17"/>
          <w:szCs w:val="17"/>
          <w:rtl w:val="0"/>
        </w:rPr>
        <w:t>.2.</w:t>
      </w:r>
      <w:r>
        <w:rPr>
          <w:rFonts w:hint="default" w:ascii="Arial" w:hAnsi="Arial" w:eastAsia="Times New Roman" w:cs="Arial"/>
          <w:b/>
          <w:sz w:val="17"/>
          <w:szCs w:val="17"/>
          <w:rtl w:val="0"/>
        </w:rPr>
        <w:t>2</w:t>
      </w:r>
      <w:r>
        <w:rPr>
          <w:rFonts w:hint="default" w:ascii="Arial" w:hAnsi="Arial" w:eastAsia="Times New Roman" w:cs="Arial"/>
          <w:b/>
          <w:color w:val="000000"/>
          <w:sz w:val="17"/>
          <w:szCs w:val="17"/>
          <w:rtl w:val="0"/>
        </w:rPr>
        <w:t>.</w:t>
      </w:r>
      <w:r>
        <w:rPr>
          <w:rFonts w:hint="default" w:ascii="Arial" w:hAnsi="Arial" w:eastAsia="Times New Roman" w:cs="Arial"/>
          <w:color w:val="000000"/>
          <w:sz w:val="17"/>
          <w:szCs w:val="17"/>
          <w:rtl w:val="0"/>
        </w:rPr>
        <w:t xml:space="preserve"> A CONTRATANTE deverá Notificar caso necessário a CONTRATADA através do setor de Licitações, caso observada irregularidade na execução do objeto do contrato;</w:t>
      </w:r>
    </w:p>
    <w:p w14:paraId="0FCB2DD0">
      <w:pPr>
        <w:spacing w:line="276" w:lineRule="auto"/>
        <w:ind w:right="-143"/>
        <w:jc w:val="both"/>
        <w:rPr>
          <w:rFonts w:hint="default" w:ascii="Arial" w:hAnsi="Arial" w:eastAsia="Times New Roman" w:cs="Arial"/>
          <w:sz w:val="17"/>
          <w:szCs w:val="17"/>
        </w:rPr>
      </w:pPr>
      <w:r>
        <w:rPr>
          <w:rFonts w:hint="default" w:ascii="Arial" w:hAnsi="Arial" w:eastAsia="Times New Roman" w:cs="Arial"/>
          <w:b/>
          <w:sz w:val="17"/>
          <w:szCs w:val="17"/>
          <w:rtl w:val="0"/>
        </w:rPr>
        <w:t>5.2.3.</w:t>
      </w:r>
      <w:r>
        <w:rPr>
          <w:rFonts w:hint="default" w:ascii="Arial" w:hAnsi="Arial" w:eastAsia="Times New Roman" w:cs="Arial"/>
          <w:sz w:val="17"/>
          <w:szCs w:val="17"/>
          <w:rtl w:val="0"/>
        </w:rPr>
        <w:t xml:space="preserve"> Havendo necessidade de cancelamento ou de transferência da data do evento, o órgão demandante deverá notificar formalmente a empresa, no prazo de até 24 horas anteriores ao início dos serviços (horário inicial do evento ou da instalação/montagem, o que ocorrer primeiro). A notificação deve ser feita através do e-mail com confirmação de leitura.</w:t>
      </w:r>
    </w:p>
    <w:p w14:paraId="4F51533B">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7"/>
          <w:szCs w:val="17"/>
          <w:lang w:val="pt-BR"/>
        </w:rPr>
      </w:pPr>
    </w:p>
    <w:p w14:paraId="3CDC2BBF">
      <w:pPr>
        <w:pStyle w:val="279"/>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5" w:name="cadastro_reserva"/>
      <w:bookmarkEnd w:id="45"/>
    </w:p>
    <w:p w14:paraId="3221622C">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6" w:name="habilitacao_reserva"/>
      <w:bookmarkEnd w:id="46"/>
    </w:p>
    <w:p w14:paraId="7CAB53C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7" w:name="recusa_dos_que_baixaram_preco"/>
      <w:bookmarkEnd w:id="47"/>
    </w:p>
    <w:p w14:paraId="35E3989D">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 prevista e indicada na autorização de fornecimento e nota de empenho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6E55D5AC">
      <w:pPr>
        <w:spacing w:line="240" w:lineRule="auto"/>
        <w:jc w:val="both"/>
        <w:rPr>
          <w:rFonts w:hint="default" w:ascii="Arial" w:hAnsi="Arial" w:cs="Arial"/>
          <w:b/>
          <w:bCs/>
          <w:sz w:val="17"/>
          <w:szCs w:val="17"/>
        </w:rPr>
      </w:pPr>
    </w:p>
    <w:tbl>
      <w:tblPr>
        <w:tblStyle w:val="339"/>
        <w:tblW w:w="71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2943"/>
        <w:gridCol w:w="4253"/>
      </w:tblGrid>
      <w:tr w14:paraId="35337D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54" w:hRule="atLeast"/>
          <w:jc w:val="center"/>
        </w:trPr>
        <w:tc>
          <w:tcPr>
            <w:tcW w:w="2943" w:type="dxa"/>
            <w:shd w:val="clear" w:color="auto" w:fill="D9D9D9"/>
            <w:vAlign w:val="center"/>
          </w:tcPr>
          <w:p w14:paraId="3657F608">
            <w:pPr>
              <w:pageBreakBefore w:val="0"/>
              <w:kinsoku/>
              <w:wordWrap/>
              <w:overflowPunct/>
              <w:topLinePunct w:val="0"/>
              <w:autoSpaceDE/>
              <w:autoSpaceDN/>
              <w:bidi w:val="0"/>
              <w:adjustRightInd/>
              <w:snapToGrid/>
              <w:spacing w:after="0" w:line="360" w:lineRule="auto"/>
              <w:ind w:left="0" w:right="0"/>
              <w:jc w:val="center"/>
              <w:textAlignment w:val="auto"/>
              <w:rPr>
                <w:rFonts w:hint="default" w:ascii="Arial" w:hAnsi="Arial" w:eastAsia="Times New Roman" w:cs="Arial"/>
                <w:b/>
                <w:sz w:val="17"/>
                <w:szCs w:val="17"/>
              </w:rPr>
            </w:pPr>
            <w:r>
              <w:rPr>
                <w:rFonts w:hint="default" w:ascii="Arial" w:hAnsi="Arial" w:eastAsia="Times New Roman" w:cs="Arial"/>
                <w:b/>
                <w:sz w:val="17"/>
                <w:szCs w:val="17"/>
              </w:rPr>
              <w:t>CÓDIGO/CENTRO DE CUSTO</w:t>
            </w:r>
          </w:p>
        </w:tc>
        <w:tc>
          <w:tcPr>
            <w:tcW w:w="4253" w:type="dxa"/>
            <w:shd w:val="clear" w:color="auto" w:fill="D9D9D9"/>
            <w:vAlign w:val="center"/>
          </w:tcPr>
          <w:p w14:paraId="3B71326C">
            <w:pPr>
              <w:pageBreakBefore w:val="0"/>
              <w:kinsoku/>
              <w:wordWrap/>
              <w:overflowPunct/>
              <w:topLinePunct w:val="0"/>
              <w:autoSpaceDE/>
              <w:autoSpaceDN/>
              <w:bidi w:val="0"/>
              <w:adjustRightInd/>
              <w:snapToGrid/>
              <w:spacing w:after="0" w:line="360" w:lineRule="auto"/>
              <w:ind w:left="0" w:right="0"/>
              <w:jc w:val="center"/>
              <w:textAlignment w:val="auto"/>
              <w:rPr>
                <w:rFonts w:hint="default" w:ascii="Arial" w:hAnsi="Arial" w:eastAsia="Times New Roman" w:cs="Arial"/>
                <w:b/>
                <w:sz w:val="17"/>
                <w:szCs w:val="17"/>
              </w:rPr>
            </w:pPr>
            <w:r>
              <w:rPr>
                <w:rFonts w:hint="default" w:ascii="Arial" w:hAnsi="Arial" w:eastAsia="Times New Roman" w:cs="Arial"/>
                <w:b/>
                <w:sz w:val="17"/>
                <w:szCs w:val="17"/>
              </w:rPr>
              <w:t>ÁREA REQUISITANTE</w:t>
            </w:r>
          </w:p>
        </w:tc>
      </w:tr>
      <w:tr w14:paraId="7EA76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33" w:hRule="atLeast"/>
          <w:jc w:val="center"/>
        </w:trPr>
        <w:tc>
          <w:tcPr>
            <w:tcW w:w="2943" w:type="dxa"/>
            <w:vAlign w:val="center"/>
          </w:tcPr>
          <w:p w14:paraId="2C6BB8AB">
            <w:pPr>
              <w:pageBreakBefore w:val="0"/>
              <w:kinsoku/>
              <w:wordWrap/>
              <w:overflowPunct/>
              <w:topLinePunct w:val="0"/>
              <w:autoSpaceDE/>
              <w:autoSpaceDN/>
              <w:bidi w:val="0"/>
              <w:adjustRightInd/>
              <w:snapToGrid/>
              <w:spacing w:after="0" w:line="360" w:lineRule="auto"/>
              <w:ind w:left="0" w:right="0"/>
              <w:jc w:val="center"/>
              <w:textAlignment w:val="auto"/>
              <w:rPr>
                <w:rFonts w:hint="default" w:ascii="Arial" w:hAnsi="Arial" w:eastAsia="Times New Roman" w:cs="Arial"/>
                <w:sz w:val="17"/>
                <w:szCs w:val="17"/>
              </w:rPr>
            </w:pPr>
            <w:r>
              <w:rPr>
                <w:rFonts w:hint="default" w:ascii="Arial" w:hAnsi="Arial" w:eastAsia="Times New Roman" w:cs="Arial"/>
                <w:sz w:val="17"/>
                <w:szCs w:val="17"/>
              </w:rPr>
              <w:t>11</w:t>
            </w:r>
          </w:p>
        </w:tc>
        <w:tc>
          <w:tcPr>
            <w:tcW w:w="4253" w:type="dxa"/>
            <w:vAlign w:val="center"/>
          </w:tcPr>
          <w:p w14:paraId="3144D38C">
            <w:pPr>
              <w:pageBreakBefore w:val="0"/>
              <w:kinsoku/>
              <w:wordWrap/>
              <w:overflowPunct/>
              <w:topLinePunct w:val="0"/>
              <w:autoSpaceDE/>
              <w:autoSpaceDN/>
              <w:bidi w:val="0"/>
              <w:adjustRightInd/>
              <w:snapToGrid/>
              <w:spacing w:after="0" w:line="360" w:lineRule="auto"/>
              <w:ind w:left="0" w:right="0"/>
              <w:jc w:val="center"/>
              <w:textAlignment w:val="auto"/>
              <w:rPr>
                <w:rFonts w:hint="default" w:ascii="Arial" w:hAnsi="Arial" w:eastAsia="Times New Roman" w:cs="Arial"/>
                <w:sz w:val="17"/>
                <w:szCs w:val="17"/>
              </w:rPr>
            </w:pPr>
            <w:r>
              <w:rPr>
                <w:rFonts w:hint="default" w:ascii="Arial" w:hAnsi="Arial" w:eastAsia="Times New Roman" w:cs="Arial"/>
                <w:sz w:val="17"/>
                <w:szCs w:val="17"/>
              </w:rPr>
              <w:t>SECRETARIA DE CULTURA E TURISMO</w:t>
            </w:r>
          </w:p>
        </w:tc>
      </w:tr>
    </w:tbl>
    <w:p w14:paraId="606FD579">
      <w:pPr>
        <w:spacing w:line="240" w:lineRule="auto"/>
        <w:jc w:val="both"/>
        <w:rPr>
          <w:rFonts w:hint="default" w:ascii="Arial" w:hAnsi="Arial" w:cs="Arial"/>
          <w:b/>
          <w:bCs/>
          <w:sz w:val="17"/>
          <w:szCs w:val="17"/>
        </w:rPr>
      </w:pPr>
    </w:p>
    <w:p w14:paraId="3E8EA5F8">
      <w:pPr>
        <w:spacing w:line="240" w:lineRule="auto"/>
        <w:jc w:val="both"/>
        <w:rPr>
          <w:rFonts w:hint="default" w:ascii="Arial" w:hAnsi="Arial" w:cs="Arial"/>
          <w:b/>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de Cataguases por processo legal, </w:t>
      </w:r>
      <w:r>
        <w:rPr>
          <w:rFonts w:hint="default" w:ascii="Arial" w:hAnsi="Arial" w:cs="Arial"/>
          <w:b/>
          <w:sz w:val="17"/>
          <w:szCs w:val="17"/>
        </w:rPr>
        <w:t xml:space="preserve">no prazo de 30 (trinta) dias corridos </w:t>
      </w:r>
      <w:r>
        <w:rPr>
          <w:rFonts w:hint="default" w:ascii="Arial" w:hAnsi="Arial" w:cs="Arial"/>
          <w:sz w:val="17"/>
          <w:szCs w:val="17"/>
        </w:rPr>
        <w:t xml:space="preserve">após a apresentação da Nota Fiscal, mediante a </w:t>
      </w:r>
      <w:r>
        <w:rPr>
          <w:rFonts w:hint="default" w:ascii="Arial" w:hAnsi="Arial" w:cs="Arial"/>
          <w:b/>
          <w:sz w:val="17"/>
          <w:szCs w:val="17"/>
        </w:rPr>
        <w:t>apresentação da regularidade fiscal junto ao INSS FGTS, RECEITA FEDERAL, ESTADUAL E MUNICIPAL.</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38F9B505">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8" w:name="reducao_preco_mercado_negociacao_frustra"/>
      <w:bookmarkEnd w:id="48"/>
    </w:p>
    <w:p w14:paraId="3CDD3738">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9" w:name="hipotese_preco_mercado_maior"/>
      <w:bookmarkEnd w:id="49"/>
    </w:p>
    <w:p w14:paraId="33993A6D">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0" w:name="prova_preco_mercado_maior"/>
      <w:bookmarkEnd w:id="50"/>
    </w:p>
    <w:p w14:paraId="3F87E5CA">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1" w:name="nao_comprovacao_majoracao_mercado"/>
      <w:bookmarkEnd w:id="51"/>
    </w:p>
    <w:p w14:paraId="06CC111E">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2" w:name="majora_preco_mercado_negociacao_frustra"/>
      <w:bookmarkEnd w:id="52"/>
    </w:p>
    <w:p w14:paraId="5F8F3740">
      <w:pPr>
        <w:pStyle w:val="317"/>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3" w:name="cancelamento_do_fornecedor"/>
      <w:bookmarkEnd w:id="53"/>
    </w:p>
    <w:p w14:paraId="5B5241C8">
      <w:pPr>
        <w:pStyle w:val="221"/>
        <w:numPr>
          <w:ilvl w:val="0"/>
          <w:numId w:val="23"/>
        </w:numPr>
        <w:contextualSpacing w:val="0"/>
        <w:jc w:val="both"/>
        <w:rPr>
          <w:rFonts w:hint="default" w:ascii="Arial" w:hAnsi="Arial" w:cs="Arial" w:eastAsiaTheme="minorHAnsi"/>
          <w:vanish/>
          <w:sz w:val="17"/>
          <w:szCs w:val="17"/>
          <w:lang w:eastAsia="en-US"/>
        </w:rPr>
      </w:pPr>
    </w:p>
    <w:p w14:paraId="5DC94584">
      <w:pPr>
        <w:pStyle w:val="221"/>
        <w:numPr>
          <w:ilvl w:val="0"/>
          <w:numId w:val="23"/>
        </w:numPr>
        <w:contextualSpacing w:val="0"/>
        <w:jc w:val="both"/>
        <w:rPr>
          <w:rFonts w:hint="default" w:ascii="Arial" w:hAnsi="Arial" w:cs="Arial" w:eastAsiaTheme="minorHAnsi"/>
          <w:vanish/>
          <w:sz w:val="17"/>
          <w:szCs w:val="17"/>
          <w:lang w:eastAsia="en-US"/>
        </w:rPr>
      </w:pPr>
    </w:p>
    <w:p w14:paraId="5E51E695">
      <w:pPr>
        <w:pStyle w:val="221"/>
        <w:numPr>
          <w:ilvl w:val="0"/>
          <w:numId w:val="23"/>
        </w:numPr>
        <w:contextualSpacing w:val="0"/>
        <w:jc w:val="both"/>
        <w:rPr>
          <w:rFonts w:hint="default" w:ascii="Arial" w:hAnsi="Arial" w:cs="Arial" w:eastAsiaTheme="minorHAnsi"/>
          <w:vanish/>
          <w:sz w:val="17"/>
          <w:szCs w:val="17"/>
          <w:lang w:eastAsia="en-US"/>
        </w:rPr>
      </w:pPr>
    </w:p>
    <w:p w14:paraId="10AD27CC">
      <w:pPr>
        <w:pStyle w:val="221"/>
        <w:numPr>
          <w:ilvl w:val="0"/>
          <w:numId w:val="23"/>
        </w:numPr>
        <w:contextualSpacing w:val="0"/>
        <w:jc w:val="both"/>
        <w:rPr>
          <w:rFonts w:hint="default" w:ascii="Arial" w:hAnsi="Arial" w:cs="Arial" w:eastAsiaTheme="minorHAnsi"/>
          <w:vanish/>
          <w:sz w:val="17"/>
          <w:szCs w:val="17"/>
          <w:lang w:eastAsia="en-US"/>
        </w:rPr>
      </w:pPr>
    </w:p>
    <w:p w14:paraId="48D79844">
      <w:pPr>
        <w:pStyle w:val="221"/>
        <w:numPr>
          <w:ilvl w:val="0"/>
          <w:numId w:val="23"/>
        </w:numPr>
        <w:contextualSpacing w:val="0"/>
        <w:jc w:val="both"/>
        <w:rPr>
          <w:rFonts w:hint="default" w:ascii="Arial" w:hAnsi="Arial" w:cs="Arial" w:eastAsiaTheme="minorHAnsi"/>
          <w:vanish/>
          <w:sz w:val="17"/>
          <w:szCs w:val="17"/>
          <w:lang w:eastAsia="en-US"/>
        </w:rPr>
      </w:pPr>
    </w:p>
    <w:p w14:paraId="65A38D87">
      <w:pPr>
        <w:pStyle w:val="221"/>
        <w:numPr>
          <w:ilvl w:val="0"/>
          <w:numId w:val="23"/>
        </w:numPr>
        <w:contextualSpacing w:val="0"/>
        <w:jc w:val="both"/>
        <w:rPr>
          <w:rFonts w:hint="default" w:ascii="Arial" w:hAnsi="Arial" w:cs="Arial" w:eastAsiaTheme="minorHAnsi"/>
          <w:vanish/>
          <w:sz w:val="17"/>
          <w:szCs w:val="17"/>
          <w:lang w:eastAsia="en-US"/>
        </w:rPr>
      </w:pPr>
    </w:p>
    <w:p w14:paraId="3371370D">
      <w:pPr>
        <w:pStyle w:val="221"/>
        <w:numPr>
          <w:ilvl w:val="0"/>
          <w:numId w:val="23"/>
        </w:numPr>
        <w:contextualSpacing w:val="0"/>
        <w:jc w:val="both"/>
        <w:rPr>
          <w:rFonts w:hint="default" w:ascii="Arial" w:hAnsi="Arial" w:cs="Arial" w:eastAsiaTheme="minorHAnsi"/>
          <w:vanish/>
          <w:sz w:val="17"/>
          <w:szCs w:val="17"/>
          <w:lang w:eastAsia="en-US"/>
        </w:rPr>
      </w:pPr>
    </w:p>
    <w:p w14:paraId="7F38C0A5">
      <w:pPr>
        <w:pStyle w:val="221"/>
        <w:numPr>
          <w:ilvl w:val="0"/>
          <w:numId w:val="23"/>
        </w:numPr>
        <w:contextualSpacing w:val="0"/>
        <w:jc w:val="both"/>
        <w:rPr>
          <w:rFonts w:hint="default" w:ascii="Arial" w:hAnsi="Arial" w:cs="Arial" w:eastAsiaTheme="minorHAnsi"/>
          <w:vanish/>
          <w:sz w:val="17"/>
          <w:szCs w:val="17"/>
          <w:lang w:eastAsia="en-US"/>
        </w:rPr>
      </w:pPr>
    </w:p>
    <w:p w14:paraId="6AE263D5">
      <w:pPr>
        <w:pStyle w:val="221"/>
        <w:numPr>
          <w:ilvl w:val="1"/>
          <w:numId w:val="23"/>
        </w:numPr>
        <w:contextualSpacing w:val="0"/>
        <w:jc w:val="both"/>
        <w:rPr>
          <w:rFonts w:hint="default" w:ascii="Arial" w:hAnsi="Arial" w:cs="Arial" w:eastAsiaTheme="minorHAnsi"/>
          <w:vanish/>
          <w:sz w:val="17"/>
          <w:szCs w:val="17"/>
          <w:lang w:eastAsia="en-US"/>
        </w:rPr>
      </w:pPr>
    </w:p>
    <w:p w14:paraId="3A6CB81F">
      <w:pPr>
        <w:pStyle w:val="317"/>
        <w:numPr>
          <w:ilvl w:val="2"/>
          <w:numId w:val="23"/>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19"/>
        <w:numPr>
          <w:ilvl w:val="3"/>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6.1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4" w:name="cancelamento_da_ata"/>
      <w:bookmarkEnd w:id="54"/>
    </w:p>
    <w:p w14:paraId="7D9D1D25">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4"/>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7"/>
        <w:numPr>
          <w:ilvl w:val="0"/>
          <w:numId w:val="24"/>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1"/>
          <w:numId w:val="25"/>
        </w:numPr>
        <w:tabs>
          <w:tab w:val="left" w:pos="426"/>
          <w:tab w:val="left" w:pos="709"/>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25"/>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25"/>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25"/>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43DEA02">
      <w:pPr>
        <w:pStyle w:val="319"/>
        <w:numPr>
          <w:ilvl w:val="3"/>
          <w:numId w:val="25"/>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No caso do reajustamento, deverá ser respeitada a contagem da anualidade e o índice previstos para a contratação;  </w:t>
      </w:r>
    </w:p>
    <w:p w14:paraId="4707ECC3">
      <w:pPr>
        <w:pStyle w:val="319"/>
        <w:numPr>
          <w:ilvl w:val="3"/>
          <w:numId w:val="25"/>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No caso da repactuação, poderá ser a pedido do interessado, conforme critérios definidos para a contratação.</w:t>
      </w:r>
    </w:p>
    <w:p w14:paraId="74E546A4">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7"/>
          <w:szCs w:val="17"/>
          <w:lang w:val="pt-BR"/>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 </w:t>
      </w:r>
      <w:r>
        <w:rPr>
          <w:rFonts w:hint="default" w:ascii="Arial" w:hAnsi="Arial" w:cs="Arial" w:eastAsiaTheme="minorHAnsi"/>
          <w:sz w:val="17"/>
          <w:szCs w:val="17"/>
          <w:lang w:val="pt-BR" w:eastAsia="en-US"/>
        </w:rPr>
        <w:t>Carolina Paiva Neves Frade da Cruz</w:t>
      </w:r>
    </w:p>
    <w:p w14:paraId="545CB7E3">
      <w:pPr>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.2</w:t>
      </w:r>
      <w:r>
        <w:rPr>
          <w:rFonts w:hint="default" w:ascii="Arial" w:hAnsi="Arial" w:cs="Arial" w:eastAsiaTheme="minorHAnsi"/>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1</w:t>
      </w:r>
      <w:r>
        <w:rPr>
          <w:rFonts w:hint="default" w:ascii="Arial" w:hAnsi="Arial" w:cs="Arial" w:eastAsiaTheme="minorHAnsi"/>
          <w:b/>
          <w:bCs/>
          <w:sz w:val="17"/>
          <w:szCs w:val="17"/>
          <w:lang w:val="pt-BR"/>
        </w:rPr>
        <w:t>6</w:t>
      </w:r>
      <w:r>
        <w:rPr>
          <w:rFonts w:hint="default" w:ascii="Arial" w:hAnsi="Arial" w:cs="Arial" w:eastAsiaTheme="minorHAnsi"/>
          <w:b/>
          <w:bCs/>
          <w:sz w:val="17"/>
          <w:szCs w:val="17"/>
        </w:rPr>
        <w:t xml:space="preserve">.1.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2024.</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hint="default" w:ascii="Arial" w:hAnsi="Arial" w:cs="Arial"/>
          <w:b/>
          <w:bCs/>
          <w:sz w:val="17"/>
          <w:szCs w:val="17"/>
        </w:rPr>
      </w:pPr>
    </w:p>
    <w:p w14:paraId="4F8853D2">
      <w:pPr>
        <w:jc w:val="both"/>
        <w:rPr>
          <w:rFonts w:hint="default" w:ascii="Arial" w:hAnsi="Arial" w:cs="Arial"/>
          <w:b/>
          <w:bCs/>
          <w:sz w:val="17"/>
          <w:szCs w:val="17"/>
        </w:rPr>
      </w:pPr>
    </w:p>
    <w:p w14:paraId="3509275E">
      <w:pPr>
        <w:jc w:val="both"/>
        <w:rPr>
          <w:rFonts w:hint="default" w:ascii="Arial" w:hAnsi="Arial" w:cs="Arial"/>
          <w:b/>
          <w:bCs/>
          <w:sz w:val="17"/>
          <w:szCs w:val="17"/>
        </w:rPr>
      </w:pPr>
    </w:p>
    <w:p w14:paraId="352B75A2">
      <w:pPr>
        <w:jc w:val="both"/>
        <w:rPr>
          <w:rFonts w:hint="default" w:ascii="Arial" w:hAnsi="Arial" w:cs="Arial"/>
          <w:b/>
          <w:bCs/>
          <w:sz w:val="17"/>
          <w:szCs w:val="17"/>
        </w:rPr>
      </w:pPr>
    </w:p>
    <w:p w14:paraId="622A4F5B">
      <w:pPr>
        <w:jc w:val="center"/>
        <w:rPr>
          <w:rFonts w:hint="default" w:ascii="Arial" w:hAnsi="Arial" w:cs="Arial"/>
          <w:b/>
          <w:bCs/>
          <w:sz w:val="17"/>
          <w:szCs w:val="17"/>
        </w:rPr>
      </w:pPr>
    </w:p>
    <w:p w14:paraId="32F6A924">
      <w:pPr>
        <w:jc w:val="center"/>
        <w:rPr>
          <w:rFonts w:hint="default" w:ascii="Arial" w:hAnsi="Arial" w:cs="Arial"/>
          <w:b/>
          <w:bCs/>
          <w:sz w:val="17"/>
          <w:szCs w:val="17"/>
        </w:rPr>
      </w:pPr>
    </w:p>
    <w:p w14:paraId="0F59F180">
      <w:pPr>
        <w:jc w:val="center"/>
        <w:rPr>
          <w:rFonts w:hint="default" w:ascii="Arial" w:hAnsi="Arial" w:cs="Arial"/>
          <w:b/>
          <w:bCs/>
          <w:sz w:val="17"/>
          <w:szCs w:val="17"/>
        </w:rPr>
      </w:pPr>
    </w:p>
    <w:p w14:paraId="7898B1D5">
      <w:pPr>
        <w:jc w:val="center"/>
        <w:rPr>
          <w:rFonts w:hint="default" w:ascii="Arial" w:hAnsi="Arial" w:cs="Arial"/>
          <w:b/>
          <w:bCs/>
          <w:sz w:val="17"/>
          <w:szCs w:val="17"/>
        </w:rPr>
      </w:pPr>
    </w:p>
    <w:p w14:paraId="70166364">
      <w:pPr>
        <w:jc w:val="center"/>
        <w:rPr>
          <w:rFonts w:hint="default" w:ascii="Arial" w:hAnsi="Arial" w:cs="Arial"/>
          <w:b/>
          <w:bCs/>
          <w:sz w:val="17"/>
          <w:szCs w:val="17"/>
        </w:rPr>
      </w:pPr>
    </w:p>
    <w:p w14:paraId="7C82AFB1">
      <w:pPr>
        <w:jc w:val="both"/>
        <w:rPr>
          <w:rFonts w:ascii="Arial" w:hAnsi="Arial" w:cs="Arial"/>
          <w:b/>
          <w:bCs/>
          <w:sz w:val="26"/>
          <w:szCs w:val="26"/>
        </w:rPr>
      </w:pPr>
      <w:bookmarkStart w:id="55" w:name="_GoBack"/>
      <w:bookmarkEnd w:id="55"/>
    </w:p>
    <w:p w14:paraId="46F29D1F">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086/2024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054/2024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039/2024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086/2024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054/2024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039/2024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086/2024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054/2024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039/2024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086/2024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054/2024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039/2024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086/2024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054/2024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039/2024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086/2024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054/2024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039/2024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086/2024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054/2024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039/2024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086/2024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054/2024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039/2024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072180DA">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45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054/2024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8EB262"/>
    <w:multiLevelType w:val="singleLevel"/>
    <w:tmpl w:val="9A8EB262"/>
    <w:lvl w:ilvl="0" w:tentative="0">
      <w:start w:val="1"/>
      <w:numFmt w:val="decimal"/>
      <w:lvlText w:val="2.%1."/>
      <w:lvlJc w:val="left"/>
      <w:pPr>
        <w:tabs>
          <w:tab w:val="left" w:pos="425"/>
        </w:tabs>
        <w:ind w:left="425" w:leftChars="0" w:hanging="425" w:firstLineChars="0"/>
      </w:pPr>
      <w:rPr>
        <w:rFonts w:hint="default"/>
      </w:rPr>
    </w:lvl>
  </w:abstractNum>
  <w:abstractNum w:abstractNumId="1">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6">
    <w:nsid w:val="6421523D"/>
    <w:multiLevelType w:val="singleLevel"/>
    <w:tmpl w:val="6421523D"/>
    <w:lvl w:ilvl="0" w:tentative="0">
      <w:start w:val="18"/>
      <w:numFmt w:val="decimal"/>
      <w:suff w:val="space"/>
      <w:lvlText w:val="%1."/>
      <w:lvlJc w:val="left"/>
    </w:lvl>
  </w:abstractNum>
  <w:abstractNum w:abstractNumId="17">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8">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69DB060"/>
    <w:multiLevelType w:val="singleLevel"/>
    <w:tmpl w:val="769DB060"/>
    <w:lvl w:ilvl="0" w:tentative="0">
      <w:start w:val="3"/>
      <w:numFmt w:val="decimal"/>
      <w:suff w:val="space"/>
      <w:lvlText w:val="%1."/>
      <w:lvlJc w:val="left"/>
    </w:lvl>
  </w:abstractNum>
  <w:abstractNum w:abstractNumId="21">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3"/>
  </w:num>
  <w:num w:numId="2">
    <w:abstractNumId w:val="9"/>
  </w:num>
  <w:num w:numId="3">
    <w:abstractNumId w:val="20"/>
  </w:num>
  <w:num w:numId="4">
    <w:abstractNumId w:val="22"/>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5"/>
  </w:num>
  <w:num w:numId="10">
    <w:abstractNumId w:val="23"/>
  </w:num>
  <w:num w:numId="11">
    <w:abstractNumId w:val="21"/>
  </w:num>
  <w:num w:numId="12">
    <w:abstractNumId w:val="11"/>
  </w:num>
  <w:num w:numId="13">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6"/>
  </w:num>
  <w:num w:numId="17">
    <w:abstractNumId w:val="8"/>
  </w:num>
  <w:num w:numId="18">
    <w:abstractNumId w:val="4"/>
  </w:num>
  <w:num w:numId="19">
    <w:abstractNumId w:val="0"/>
  </w:num>
  <w:num w:numId="20">
    <w:abstractNumId w:val="12"/>
  </w:num>
  <w:num w:numId="21">
    <w:abstractNumId w:val="7"/>
  </w:num>
  <w:num w:numId="22">
    <w:abstractNumId w:val="5"/>
  </w:num>
  <w:num w:numId="23">
    <w:abstractNumId w:val="6"/>
  </w:num>
  <w:num w:numId="24">
    <w:abstractNumId w:val="1"/>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8398D"/>
    <w:rsid w:val="035930BB"/>
    <w:rsid w:val="036A3D87"/>
    <w:rsid w:val="03724537"/>
    <w:rsid w:val="03B34FA0"/>
    <w:rsid w:val="05B22507"/>
    <w:rsid w:val="05C36005"/>
    <w:rsid w:val="06626E08"/>
    <w:rsid w:val="06A40338"/>
    <w:rsid w:val="06BD75F4"/>
    <w:rsid w:val="071661B3"/>
    <w:rsid w:val="071B07B5"/>
    <w:rsid w:val="071B739D"/>
    <w:rsid w:val="07FA5C24"/>
    <w:rsid w:val="0A1A36A0"/>
    <w:rsid w:val="0A5C798D"/>
    <w:rsid w:val="0AC61217"/>
    <w:rsid w:val="0AFC209A"/>
    <w:rsid w:val="0B2E0FAF"/>
    <w:rsid w:val="0B2E1EE3"/>
    <w:rsid w:val="0B35343D"/>
    <w:rsid w:val="0C28597F"/>
    <w:rsid w:val="0C6254CE"/>
    <w:rsid w:val="0C9B62D5"/>
    <w:rsid w:val="0CFA6157"/>
    <w:rsid w:val="0D084D71"/>
    <w:rsid w:val="0D0A6A9C"/>
    <w:rsid w:val="0E347678"/>
    <w:rsid w:val="0F085E08"/>
    <w:rsid w:val="0F2A39ED"/>
    <w:rsid w:val="108D148E"/>
    <w:rsid w:val="11493D3F"/>
    <w:rsid w:val="11C747A2"/>
    <w:rsid w:val="123371E8"/>
    <w:rsid w:val="134A4E0F"/>
    <w:rsid w:val="15B578A3"/>
    <w:rsid w:val="16233B71"/>
    <w:rsid w:val="16240579"/>
    <w:rsid w:val="16BC1BDB"/>
    <w:rsid w:val="19002F9E"/>
    <w:rsid w:val="19454582"/>
    <w:rsid w:val="19583C7B"/>
    <w:rsid w:val="1BF84071"/>
    <w:rsid w:val="1C1D43AD"/>
    <w:rsid w:val="1C74326B"/>
    <w:rsid w:val="1C7C20CC"/>
    <w:rsid w:val="1D3849FD"/>
    <w:rsid w:val="1DAA464F"/>
    <w:rsid w:val="1FAE0C8A"/>
    <w:rsid w:val="209C70ED"/>
    <w:rsid w:val="20AF4B58"/>
    <w:rsid w:val="21523992"/>
    <w:rsid w:val="22B343FA"/>
    <w:rsid w:val="22C32A50"/>
    <w:rsid w:val="22DF6543"/>
    <w:rsid w:val="243F4EA1"/>
    <w:rsid w:val="24B0470C"/>
    <w:rsid w:val="24F84421"/>
    <w:rsid w:val="25FD47AF"/>
    <w:rsid w:val="26467D5D"/>
    <w:rsid w:val="269017D3"/>
    <w:rsid w:val="26A522E5"/>
    <w:rsid w:val="26AB2EEF"/>
    <w:rsid w:val="289D2943"/>
    <w:rsid w:val="28F35E71"/>
    <w:rsid w:val="29A90543"/>
    <w:rsid w:val="29BB2501"/>
    <w:rsid w:val="29F03C89"/>
    <w:rsid w:val="2BA5188B"/>
    <w:rsid w:val="2DB14B90"/>
    <w:rsid w:val="2E514506"/>
    <w:rsid w:val="2E611FB6"/>
    <w:rsid w:val="2E7471D0"/>
    <w:rsid w:val="2E9E5CBA"/>
    <w:rsid w:val="2F462A0C"/>
    <w:rsid w:val="300237FC"/>
    <w:rsid w:val="30704386"/>
    <w:rsid w:val="30C86099"/>
    <w:rsid w:val="31151E44"/>
    <w:rsid w:val="3146053A"/>
    <w:rsid w:val="31E13090"/>
    <w:rsid w:val="32F31EA6"/>
    <w:rsid w:val="339211DF"/>
    <w:rsid w:val="341C6C3F"/>
    <w:rsid w:val="35BE6D72"/>
    <w:rsid w:val="36153AC8"/>
    <w:rsid w:val="36AE5DC4"/>
    <w:rsid w:val="36D17D70"/>
    <w:rsid w:val="36E91DC4"/>
    <w:rsid w:val="38CB7A3E"/>
    <w:rsid w:val="392535BB"/>
    <w:rsid w:val="39ED5597"/>
    <w:rsid w:val="39FE0F51"/>
    <w:rsid w:val="3A335D0B"/>
    <w:rsid w:val="3A782F7C"/>
    <w:rsid w:val="3A8D7822"/>
    <w:rsid w:val="3ACA050B"/>
    <w:rsid w:val="3AE54320"/>
    <w:rsid w:val="3B1662FE"/>
    <w:rsid w:val="3B36765E"/>
    <w:rsid w:val="3BBA2084"/>
    <w:rsid w:val="3FD7053F"/>
    <w:rsid w:val="417501F3"/>
    <w:rsid w:val="41AD1B63"/>
    <w:rsid w:val="4213205F"/>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9B230D1"/>
    <w:rsid w:val="4A4328CF"/>
    <w:rsid w:val="4A6A18CB"/>
    <w:rsid w:val="4B821692"/>
    <w:rsid w:val="4B9C4670"/>
    <w:rsid w:val="4BA965BC"/>
    <w:rsid w:val="4BE0608A"/>
    <w:rsid w:val="4CBC3DA7"/>
    <w:rsid w:val="4CDE1338"/>
    <w:rsid w:val="4D4730BA"/>
    <w:rsid w:val="4D927F12"/>
    <w:rsid w:val="4FDA3AB0"/>
    <w:rsid w:val="505E3468"/>
    <w:rsid w:val="50B5468B"/>
    <w:rsid w:val="50F32A33"/>
    <w:rsid w:val="51453A91"/>
    <w:rsid w:val="519C08F1"/>
    <w:rsid w:val="51C874F1"/>
    <w:rsid w:val="51CF3978"/>
    <w:rsid w:val="51D356B8"/>
    <w:rsid w:val="52465311"/>
    <w:rsid w:val="528511B2"/>
    <w:rsid w:val="52CF109F"/>
    <w:rsid w:val="53570BC7"/>
    <w:rsid w:val="54C274A3"/>
    <w:rsid w:val="55700B2B"/>
    <w:rsid w:val="55CC73D2"/>
    <w:rsid w:val="57877298"/>
    <w:rsid w:val="58614E3B"/>
    <w:rsid w:val="59194FF3"/>
    <w:rsid w:val="594C2058"/>
    <w:rsid w:val="59BF05CC"/>
    <w:rsid w:val="5B0972E9"/>
    <w:rsid w:val="5BC449ED"/>
    <w:rsid w:val="5D7C74C4"/>
    <w:rsid w:val="5F6D1DB8"/>
    <w:rsid w:val="6212532B"/>
    <w:rsid w:val="621E6E07"/>
    <w:rsid w:val="629C20E4"/>
    <w:rsid w:val="636B232C"/>
    <w:rsid w:val="63F5795B"/>
    <w:rsid w:val="648D429C"/>
    <w:rsid w:val="65FD355F"/>
    <w:rsid w:val="67C94DD4"/>
    <w:rsid w:val="67E30105"/>
    <w:rsid w:val="685F2D49"/>
    <w:rsid w:val="694158BA"/>
    <w:rsid w:val="699C0552"/>
    <w:rsid w:val="69B47C24"/>
    <w:rsid w:val="69D22C2B"/>
    <w:rsid w:val="69D956AD"/>
    <w:rsid w:val="6A025978"/>
    <w:rsid w:val="6A902988"/>
    <w:rsid w:val="6AB61517"/>
    <w:rsid w:val="6C041C46"/>
    <w:rsid w:val="6CAC2460"/>
    <w:rsid w:val="6E114EEB"/>
    <w:rsid w:val="6F3239AE"/>
    <w:rsid w:val="6FD12C00"/>
    <w:rsid w:val="70EB6BD0"/>
    <w:rsid w:val="712A66B5"/>
    <w:rsid w:val="71AE1385"/>
    <w:rsid w:val="725A39AC"/>
    <w:rsid w:val="7421118B"/>
    <w:rsid w:val="744F69BD"/>
    <w:rsid w:val="7491354E"/>
    <w:rsid w:val="750C7615"/>
    <w:rsid w:val="75463962"/>
    <w:rsid w:val="75D743E8"/>
    <w:rsid w:val="76846FE7"/>
    <w:rsid w:val="77110C43"/>
    <w:rsid w:val="77800658"/>
    <w:rsid w:val="784150D0"/>
    <w:rsid w:val="78904661"/>
    <w:rsid w:val="797804D9"/>
    <w:rsid w:val="79924C25"/>
    <w:rsid w:val="79C22C0F"/>
    <w:rsid w:val="7A3A4D14"/>
    <w:rsid w:val="7A926A27"/>
    <w:rsid w:val="7B8C4CEA"/>
    <w:rsid w:val="7BED703F"/>
    <w:rsid w:val="7DCE3976"/>
    <w:rsid w:val="7E5E415E"/>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table" w:customStyle="1" w:styleId="339">
    <w:name w:val="_Style 51"/>
    <w:basedOn w:val="330"/>
    <w:qFormat/>
    <w:uiPriority w:val="0"/>
    <w:tblPr>
      <w:tblCellMar>
        <w:top w:w="100" w:type="dxa"/>
        <w:left w:w="100" w:type="dxa"/>
        <w:bottom w:w="100" w:type="dxa"/>
        <w:right w:w="100" w:type="dxa"/>
      </w:tblCellMar>
    </w:tblPr>
  </w:style>
  <w:style w:type="table" w:customStyle="1" w:styleId="340">
    <w:name w:val="_Style 48"/>
    <w:basedOn w:val="330"/>
    <w:qFormat/>
    <w:uiPriority w:val="0"/>
    <w:tblPr>
      <w:tblCellMar>
        <w:top w:w="100" w:type="dxa"/>
        <w:left w:w="100" w:type="dxa"/>
        <w:bottom w:w="100" w:type="dxa"/>
        <w:right w:w="100" w:type="dxa"/>
      </w:tblCellMar>
    </w:tblPr>
  </w:style>
  <w:style w:type="table" w:customStyle="1" w:styleId="341">
    <w:name w:val="_Style 49"/>
    <w:basedOn w:val="330"/>
    <w:qFormat/>
    <w:uiPriority w:val="0"/>
    <w:tblPr>
      <w:tblCellMar>
        <w:top w:w="100" w:type="dxa"/>
        <w:left w:w="100" w:type="dxa"/>
        <w:bottom w:w="100" w:type="dxa"/>
        <w:right w:w="100" w:type="dxa"/>
      </w:tblCellMar>
    </w:tblPr>
  </w:style>
  <w:style w:type="table" w:customStyle="1" w:styleId="342">
    <w:name w:val="_Style 50"/>
    <w:basedOn w:val="330"/>
    <w:qFormat/>
    <w:uiPriority w:val="0"/>
    <w:tblPr>
      <w:tblCellMar>
        <w:top w:w="100" w:type="dxa"/>
        <w:left w:w="100" w:type="dxa"/>
        <w:bottom w:w="100" w:type="dxa"/>
        <w:right w:w="100" w:type="dxa"/>
      </w:tblCellMar>
    </w:tblPr>
  </w:style>
  <w:style w:type="table" w:customStyle="1" w:styleId="343">
    <w:name w:val="_Style 63"/>
    <w:basedOn w:val="330"/>
    <w:qFormat/>
    <w:uiPriority w:val="0"/>
    <w:tblPr>
      <w:tblCellMar>
        <w:top w:w="100" w:type="dxa"/>
        <w:left w:w="100" w:type="dxa"/>
        <w:bottom w:w="100" w:type="dxa"/>
        <w:right w:w="100" w:type="dxa"/>
      </w:tblCellMar>
    </w:tblPr>
  </w:style>
  <w:style w:type="table" w:customStyle="1" w:styleId="344">
    <w:name w:val="_Style 64"/>
    <w:basedOn w:val="330"/>
    <w:qFormat/>
    <w:uiPriority w:val="0"/>
    <w:tblPr>
      <w:tblCellMar>
        <w:top w:w="100" w:type="dxa"/>
        <w:left w:w="100" w:type="dxa"/>
        <w:bottom w:w="100" w:type="dxa"/>
        <w:right w:w="100" w:type="dxa"/>
      </w:tblCellMar>
    </w:tblPr>
  </w:style>
  <w:style w:type="table" w:customStyle="1" w:styleId="345">
    <w:name w:val="_Style 58"/>
    <w:basedOn w:val="330"/>
    <w:qFormat/>
    <w:uiPriority w:val="0"/>
    <w:tblPr>
      <w:tblCellMar>
        <w:top w:w="100" w:type="dxa"/>
        <w:left w:w="100" w:type="dxa"/>
        <w:bottom w:w="100" w:type="dxa"/>
        <w:right w:w="100" w:type="dxa"/>
      </w:tblCellMar>
    </w:tblPr>
  </w:style>
  <w:style w:type="table" w:customStyle="1" w:styleId="346">
    <w:name w:val="_Style 59"/>
    <w:basedOn w:val="330"/>
    <w:qFormat/>
    <w:uiPriority w:val="0"/>
    <w:tblPr>
      <w:tblCellMar>
        <w:top w:w="100" w:type="dxa"/>
        <w:left w:w="100" w:type="dxa"/>
        <w:bottom w:w="100" w:type="dxa"/>
        <w:right w:w="100" w:type="dxa"/>
      </w:tblCellMar>
    </w:tblPr>
  </w:style>
  <w:style w:type="table" w:customStyle="1" w:styleId="347">
    <w:name w:val="_Style 60"/>
    <w:basedOn w:val="330"/>
    <w:qFormat/>
    <w:uiPriority w:val="0"/>
    <w:tblPr>
      <w:tblCellMar>
        <w:top w:w="100" w:type="dxa"/>
        <w:left w:w="100" w:type="dxa"/>
        <w:bottom w:w="100" w:type="dxa"/>
        <w:right w:w="100" w:type="dxa"/>
      </w:tblCellMar>
    </w:tblPr>
  </w:style>
  <w:style w:type="table" w:customStyle="1" w:styleId="348">
    <w:name w:val="_Style 61"/>
    <w:basedOn w:val="330"/>
    <w:qFormat/>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41</Pages>
  <Words>18696</Words>
  <Characters>100959</Characters>
  <Lines>841</Lines>
  <Paragraphs>238</Paragraphs>
  <TotalTime>17</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2024-08-06T17:39:06Z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259E5F8A4147439C9924670D8356F83E_13</vt:lpwstr>
  </property>
</Properties>
</file>